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55" w:rsidRPr="009B6B18" w:rsidRDefault="00DA5855" w:rsidP="00DA5855">
      <w:pPr>
        <w:spacing w:after="0" w:line="240" w:lineRule="auto"/>
        <w:jc w:val="both"/>
        <w:rPr>
          <w:rFonts w:ascii="Times New Roman" w:hAnsi="Times New Roman" w:cs="Times New Roman"/>
          <w:sz w:val="24"/>
          <w:szCs w:val="24"/>
        </w:rPr>
      </w:pPr>
      <w:r w:rsidRPr="009B6B18">
        <w:rPr>
          <w:rFonts w:ascii="Times New Roman" w:hAnsi="Times New Roman" w:cs="Times New Roman"/>
          <w:sz w:val="24"/>
          <w:szCs w:val="24"/>
        </w:rPr>
        <w:t>1.</w:t>
      </w:r>
      <w:r w:rsidRPr="009B6B18">
        <w:rPr>
          <w:rFonts w:ascii="Times New Roman" w:hAnsi="Times New Roman" w:cs="Times New Roman"/>
          <w:b/>
          <w:sz w:val="24"/>
          <w:szCs w:val="24"/>
        </w:rPr>
        <w:t>Управление текущей деятельностью предприятия. Модель управления запасами</w:t>
      </w:r>
      <w:r w:rsidRPr="009B6B18">
        <w:rPr>
          <w:rFonts w:ascii="Times New Roman" w:hAnsi="Times New Roman" w:cs="Times New Roman"/>
          <w:sz w:val="24"/>
          <w:szCs w:val="24"/>
        </w:rPr>
        <w:t xml:space="preserve">. Коммерческое предприятие «АСТ» имеет годовую потребность в сырье определенного вида - 5 </w:t>
      </w:r>
      <w:proofErr w:type="spellStart"/>
      <w:r w:rsidRPr="009B6B18">
        <w:rPr>
          <w:rFonts w:ascii="Times New Roman" w:hAnsi="Times New Roman" w:cs="Times New Roman"/>
          <w:sz w:val="24"/>
          <w:szCs w:val="24"/>
        </w:rPr>
        <w:t>тыс.тонн</w:t>
      </w:r>
      <w:proofErr w:type="spellEnd"/>
      <w:r w:rsidRPr="009B6B18">
        <w:rPr>
          <w:rFonts w:ascii="Times New Roman" w:hAnsi="Times New Roman" w:cs="Times New Roman"/>
          <w:sz w:val="24"/>
          <w:szCs w:val="24"/>
        </w:rPr>
        <w:t>. стоимость его хранения на складе составляет 30 000 руб. в год.</w:t>
      </w:r>
    </w:p>
    <w:p w:rsidR="00DA5855" w:rsidRPr="009B6B18" w:rsidRDefault="00DA5855" w:rsidP="00DA5855">
      <w:pPr>
        <w:spacing w:after="0" w:line="240" w:lineRule="auto"/>
        <w:jc w:val="both"/>
        <w:rPr>
          <w:rFonts w:ascii="Times New Roman" w:hAnsi="Times New Roman" w:cs="Times New Roman"/>
          <w:sz w:val="24"/>
          <w:szCs w:val="24"/>
        </w:rPr>
      </w:pPr>
      <w:r w:rsidRPr="009B6B18">
        <w:rPr>
          <w:rFonts w:ascii="Times New Roman" w:hAnsi="Times New Roman" w:cs="Times New Roman"/>
          <w:sz w:val="24"/>
          <w:szCs w:val="24"/>
        </w:rPr>
        <w:t xml:space="preserve">На обслуживание одного заказа партии сырья необходимо тратить 3000 руб. и эти </w:t>
      </w:r>
      <w:proofErr w:type="gramStart"/>
      <w:r w:rsidRPr="009B6B18">
        <w:rPr>
          <w:rFonts w:ascii="Times New Roman" w:hAnsi="Times New Roman" w:cs="Times New Roman"/>
          <w:sz w:val="24"/>
          <w:szCs w:val="24"/>
        </w:rPr>
        <w:t>затраты  не</w:t>
      </w:r>
      <w:proofErr w:type="gramEnd"/>
      <w:r w:rsidRPr="009B6B18">
        <w:rPr>
          <w:rFonts w:ascii="Times New Roman" w:hAnsi="Times New Roman" w:cs="Times New Roman"/>
          <w:sz w:val="24"/>
          <w:szCs w:val="24"/>
        </w:rPr>
        <w:t xml:space="preserve"> зависят от размера партии закупки. </w:t>
      </w:r>
    </w:p>
    <w:p w:rsidR="00DA5855" w:rsidRPr="009B6B18" w:rsidRDefault="00DA5855" w:rsidP="00DA5855">
      <w:pPr>
        <w:numPr>
          <w:ilvl w:val="0"/>
          <w:numId w:val="1"/>
        </w:numPr>
        <w:spacing w:after="0" w:line="240" w:lineRule="auto"/>
        <w:ind w:left="0" w:firstLine="0"/>
        <w:jc w:val="both"/>
        <w:rPr>
          <w:rFonts w:ascii="Times New Roman" w:hAnsi="Times New Roman" w:cs="Times New Roman"/>
          <w:sz w:val="24"/>
          <w:szCs w:val="24"/>
        </w:rPr>
      </w:pPr>
      <w:r w:rsidRPr="009B6B18">
        <w:rPr>
          <w:rFonts w:ascii="Times New Roman" w:hAnsi="Times New Roman" w:cs="Times New Roman"/>
          <w:sz w:val="24"/>
          <w:szCs w:val="24"/>
        </w:rPr>
        <w:t>Рассчитайте оптимальный размер одного заказа (</w:t>
      </w:r>
      <w:proofErr w:type="spellStart"/>
      <w:r w:rsidRPr="009B6B18">
        <w:rPr>
          <w:rFonts w:ascii="Times New Roman" w:hAnsi="Times New Roman" w:cs="Times New Roman"/>
          <w:sz w:val="24"/>
          <w:szCs w:val="24"/>
        </w:rPr>
        <w:t>Х</w:t>
      </w:r>
      <w:r w:rsidRPr="009B6B18">
        <w:rPr>
          <w:rFonts w:ascii="Times New Roman" w:hAnsi="Times New Roman" w:cs="Times New Roman"/>
          <w:sz w:val="24"/>
          <w:szCs w:val="24"/>
          <w:vertAlign w:val="subscript"/>
        </w:rPr>
        <w:t>оптим</w:t>
      </w:r>
      <w:proofErr w:type="spellEnd"/>
      <w:r w:rsidRPr="009B6B18">
        <w:rPr>
          <w:rFonts w:ascii="Times New Roman" w:hAnsi="Times New Roman" w:cs="Times New Roman"/>
          <w:sz w:val="24"/>
          <w:szCs w:val="24"/>
        </w:rPr>
        <w:t>)</w:t>
      </w:r>
    </w:p>
    <w:p w:rsidR="00DA5855" w:rsidRPr="009B6B18" w:rsidRDefault="00DA5855" w:rsidP="00DA5855">
      <w:pPr>
        <w:numPr>
          <w:ilvl w:val="0"/>
          <w:numId w:val="1"/>
        </w:numPr>
        <w:spacing w:after="0" w:line="240" w:lineRule="auto"/>
        <w:ind w:left="0" w:firstLine="0"/>
        <w:jc w:val="both"/>
        <w:rPr>
          <w:rFonts w:ascii="Times New Roman" w:hAnsi="Times New Roman" w:cs="Times New Roman"/>
          <w:sz w:val="24"/>
          <w:szCs w:val="24"/>
        </w:rPr>
      </w:pPr>
      <w:r w:rsidRPr="009B6B18">
        <w:rPr>
          <w:rFonts w:ascii="Times New Roman" w:hAnsi="Times New Roman" w:cs="Times New Roman"/>
          <w:sz w:val="24"/>
          <w:szCs w:val="24"/>
        </w:rPr>
        <w:t>как изменятся затраты, если увеличить размер партии на 20%?</w:t>
      </w:r>
    </w:p>
    <w:p w:rsidR="00DA5855" w:rsidRPr="009B6B18" w:rsidRDefault="00DA5855" w:rsidP="00DA5855">
      <w:pPr>
        <w:numPr>
          <w:ilvl w:val="0"/>
          <w:numId w:val="1"/>
        </w:numPr>
        <w:spacing w:after="0" w:line="240" w:lineRule="auto"/>
        <w:ind w:left="0" w:firstLine="0"/>
        <w:jc w:val="both"/>
        <w:rPr>
          <w:rFonts w:ascii="Times New Roman" w:hAnsi="Times New Roman" w:cs="Times New Roman"/>
          <w:sz w:val="24"/>
          <w:szCs w:val="24"/>
        </w:rPr>
      </w:pPr>
      <w:r w:rsidRPr="009B6B18">
        <w:rPr>
          <w:rFonts w:ascii="Times New Roman" w:hAnsi="Times New Roman" w:cs="Times New Roman"/>
          <w:sz w:val="24"/>
          <w:szCs w:val="24"/>
        </w:rPr>
        <w:t>как изменятся затраты, если уменьшить размер партии на 20%?</w:t>
      </w:r>
    </w:p>
    <w:p w:rsidR="00DA5855" w:rsidRPr="009B6B18" w:rsidRDefault="00DA5855" w:rsidP="00DA5855">
      <w:pPr>
        <w:spacing w:after="0" w:line="240" w:lineRule="auto"/>
        <w:jc w:val="both"/>
        <w:rPr>
          <w:rFonts w:ascii="Times New Roman" w:hAnsi="Times New Roman" w:cs="Times New Roman"/>
          <w:sz w:val="24"/>
          <w:szCs w:val="24"/>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52"/>
        <w:gridCol w:w="1002"/>
        <w:gridCol w:w="1133"/>
        <w:gridCol w:w="1133"/>
        <w:gridCol w:w="1007"/>
        <w:gridCol w:w="1255"/>
        <w:gridCol w:w="1174"/>
      </w:tblGrid>
      <w:tr w:rsidR="00DA5855" w:rsidRPr="009B6B18" w:rsidTr="00954B26">
        <w:trPr>
          <w:tblHeader/>
          <w:jc w:val="center"/>
        </w:trPr>
        <w:tc>
          <w:tcPr>
            <w:tcW w:w="1884" w:type="dxa"/>
            <w:vMerge w:val="restart"/>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Обозначение </w:t>
            </w:r>
          </w:p>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показателя </w:t>
            </w:r>
          </w:p>
        </w:tc>
        <w:tc>
          <w:tcPr>
            <w:tcW w:w="7556" w:type="dxa"/>
            <w:gridSpan w:val="7"/>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Вариант</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(определяется первой буквой фамилии)</w:t>
            </w:r>
          </w:p>
        </w:tc>
      </w:tr>
      <w:tr w:rsidR="00DA5855" w:rsidRPr="009B6B18" w:rsidTr="00954B26">
        <w:trPr>
          <w:tblHeader/>
          <w:jc w:val="center"/>
        </w:trPr>
        <w:tc>
          <w:tcPr>
            <w:tcW w:w="1884" w:type="dxa"/>
            <w:vMerge/>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b/>
                <w:sz w:val="24"/>
                <w:szCs w:val="24"/>
              </w:rPr>
            </w:pPr>
          </w:p>
        </w:tc>
      </w:tr>
      <w:tr w:rsidR="00DA5855" w:rsidRPr="009B6B18" w:rsidTr="00954B26">
        <w:trPr>
          <w:tblHeader/>
          <w:jc w:val="center"/>
        </w:trPr>
        <w:tc>
          <w:tcPr>
            <w:tcW w:w="1884" w:type="dxa"/>
            <w:vMerge/>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w:t>
            </w:r>
            <w:proofErr w:type="gramStart"/>
            <w:r w:rsidRPr="009B6B18">
              <w:rPr>
                <w:rFonts w:ascii="Times New Roman" w:eastAsia="Calibri" w:hAnsi="Times New Roman" w:cs="Times New Roman"/>
                <w:sz w:val="24"/>
                <w:szCs w:val="24"/>
              </w:rPr>
              <w:t>С,Т</w:t>
            </w:r>
            <w:proofErr w:type="gramEnd"/>
            <w:r w:rsidRPr="009B6B18">
              <w:rPr>
                <w:rFonts w:ascii="Times New Roman" w:eastAsia="Calibri" w:hAnsi="Times New Roman" w:cs="Times New Roman"/>
                <w:sz w:val="24"/>
                <w:szCs w:val="24"/>
              </w:rPr>
              <w:t>,</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roofErr w:type="gramStart"/>
            <w:r w:rsidRPr="009B6B18">
              <w:rPr>
                <w:rFonts w:ascii="Times New Roman" w:eastAsia="Calibri" w:hAnsi="Times New Roman" w:cs="Times New Roman"/>
                <w:sz w:val="24"/>
                <w:szCs w:val="24"/>
              </w:rPr>
              <w:t>У,Ф</w:t>
            </w:r>
            <w:proofErr w:type="gramEnd"/>
            <w:r w:rsidRPr="009B6B18">
              <w:rPr>
                <w:rFonts w:ascii="Times New Roman" w:eastAsia="Calibri" w:hAnsi="Times New Roman" w:cs="Times New Roman"/>
                <w:sz w:val="24"/>
                <w:szCs w:val="24"/>
              </w:rPr>
              <w:t>)</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Годовая потребность в сырье, </w:t>
            </w:r>
            <w:proofErr w:type="spellStart"/>
            <w:r w:rsidRPr="009B6B18">
              <w:rPr>
                <w:rFonts w:ascii="Times New Roman" w:eastAsia="Calibri" w:hAnsi="Times New Roman" w:cs="Times New Roman"/>
                <w:sz w:val="24"/>
                <w:szCs w:val="24"/>
              </w:rPr>
              <w:t>тыс.тонн</w:t>
            </w:r>
            <w:proofErr w:type="spellEnd"/>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4</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Стоимость хранения на складе, </w:t>
            </w:r>
            <w:proofErr w:type="spellStart"/>
            <w:r w:rsidRPr="009B6B18">
              <w:rPr>
                <w:rFonts w:ascii="Times New Roman" w:eastAsia="Calibri" w:hAnsi="Times New Roman" w:cs="Times New Roman"/>
                <w:sz w:val="24"/>
                <w:szCs w:val="24"/>
              </w:rPr>
              <w:t>тыс.руб</w:t>
            </w:r>
            <w:proofErr w:type="spellEnd"/>
            <w:r w:rsidRPr="009B6B18">
              <w:rPr>
                <w:rFonts w:ascii="Times New Roman" w:eastAsia="Calibri" w:hAnsi="Times New Roman" w:cs="Times New Roman"/>
                <w:sz w:val="24"/>
                <w:szCs w:val="24"/>
              </w:rPr>
              <w:t>.</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20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hAnsi="Times New Roman" w:cs="Times New Roman"/>
                <w:sz w:val="24"/>
                <w:szCs w:val="24"/>
              </w:rPr>
              <w:t xml:space="preserve">Затраты на обслуживание одного заказа, </w:t>
            </w:r>
            <w:proofErr w:type="spellStart"/>
            <w:r w:rsidRPr="009B6B18">
              <w:rPr>
                <w:rFonts w:ascii="Times New Roman" w:hAnsi="Times New Roman" w:cs="Times New Roman"/>
                <w:sz w:val="24"/>
                <w:szCs w:val="24"/>
              </w:rPr>
              <w:t>тыс.руб</w:t>
            </w:r>
            <w:proofErr w:type="spellEnd"/>
            <w:r w:rsidRPr="009B6B18">
              <w:rPr>
                <w:rFonts w:ascii="Times New Roman" w:hAnsi="Times New Roman" w:cs="Times New Roman"/>
                <w:sz w:val="24"/>
                <w:szCs w:val="24"/>
              </w:rPr>
              <w:t>.</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bl>
    <w:p w:rsidR="00DA5855" w:rsidRPr="009B6B18" w:rsidRDefault="00DA5855" w:rsidP="00DA5855">
      <w:pPr>
        <w:spacing w:after="0" w:line="240" w:lineRule="auto"/>
        <w:jc w:val="both"/>
        <w:rPr>
          <w:rFonts w:ascii="Times New Roman" w:hAnsi="Times New Roman" w:cs="Times New Roman"/>
          <w:sz w:val="24"/>
          <w:szCs w:val="24"/>
        </w:rPr>
      </w:pP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2.</w:t>
      </w:r>
      <w:r w:rsidRPr="009B6B18">
        <w:rPr>
          <w:rFonts w:ascii="Times New Roman" w:hAnsi="Times New Roman" w:cs="Times New Roman"/>
          <w:b/>
          <w:sz w:val="24"/>
          <w:szCs w:val="24"/>
        </w:rPr>
        <w:t>Управление расчетами организации</w:t>
      </w:r>
      <w:r w:rsidRPr="009B6B18">
        <w:rPr>
          <w:rFonts w:ascii="Times New Roman" w:hAnsi="Times New Roman" w:cs="Times New Roman"/>
          <w:sz w:val="24"/>
          <w:szCs w:val="24"/>
        </w:rPr>
        <w:t xml:space="preserve">. Предприятие имеет следующие данные за 1 </w:t>
      </w:r>
      <w:proofErr w:type="gramStart"/>
      <w:r w:rsidRPr="009B6B18">
        <w:rPr>
          <w:rFonts w:ascii="Times New Roman" w:hAnsi="Times New Roman" w:cs="Times New Roman"/>
          <w:sz w:val="24"/>
          <w:szCs w:val="24"/>
        </w:rPr>
        <w:t>полугодие  2016</w:t>
      </w:r>
      <w:proofErr w:type="gramEnd"/>
      <w:r w:rsidRPr="009B6B18">
        <w:rPr>
          <w:rFonts w:ascii="Times New Roman" w:hAnsi="Times New Roman" w:cs="Times New Roman"/>
          <w:sz w:val="24"/>
          <w:szCs w:val="24"/>
        </w:rPr>
        <w:t xml:space="preserve"> года (</w:t>
      </w:r>
      <w:proofErr w:type="spellStart"/>
      <w:r w:rsidRPr="009B6B18">
        <w:rPr>
          <w:rFonts w:ascii="Times New Roman" w:hAnsi="Times New Roman" w:cs="Times New Roman"/>
          <w:sz w:val="24"/>
          <w:szCs w:val="24"/>
        </w:rPr>
        <w:t>тыс.руб</w:t>
      </w:r>
      <w:proofErr w:type="spellEnd"/>
      <w:r w:rsidRPr="009B6B18">
        <w:rPr>
          <w:rFonts w:ascii="Times New Roman" w:hAnsi="Times New Roman" w:cs="Times New Roman"/>
          <w:sz w:val="24"/>
          <w:szCs w:val="24"/>
        </w:rPr>
        <w:t>.):</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 xml:space="preserve">1. Выручка от продаж – 90 000, </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2. Затраты, связанные с основной деятельностью – 60 000,</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 xml:space="preserve">3. Средние балансовые </w:t>
      </w:r>
      <w:proofErr w:type="gramStart"/>
      <w:r w:rsidRPr="009B6B18">
        <w:rPr>
          <w:rFonts w:ascii="Times New Roman" w:hAnsi="Times New Roman" w:cs="Times New Roman"/>
          <w:sz w:val="24"/>
          <w:szCs w:val="24"/>
        </w:rPr>
        <w:t>остатки  дебиторской</w:t>
      </w:r>
      <w:proofErr w:type="gramEnd"/>
      <w:r w:rsidRPr="009B6B18">
        <w:rPr>
          <w:rFonts w:ascii="Times New Roman" w:hAnsi="Times New Roman" w:cs="Times New Roman"/>
          <w:sz w:val="24"/>
          <w:szCs w:val="24"/>
        </w:rPr>
        <w:t xml:space="preserve"> задолженности- 28 000, из нее </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долгосрочная – 5500, просроченная – 750,</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 xml:space="preserve">4. Средние балансовые </w:t>
      </w:r>
      <w:proofErr w:type="gramStart"/>
      <w:r w:rsidRPr="009B6B18">
        <w:rPr>
          <w:rFonts w:ascii="Times New Roman" w:hAnsi="Times New Roman" w:cs="Times New Roman"/>
          <w:sz w:val="24"/>
          <w:szCs w:val="24"/>
        </w:rPr>
        <w:t>остатки  кредиторской</w:t>
      </w:r>
      <w:proofErr w:type="gramEnd"/>
      <w:r w:rsidRPr="009B6B18">
        <w:rPr>
          <w:rFonts w:ascii="Times New Roman" w:hAnsi="Times New Roman" w:cs="Times New Roman"/>
          <w:sz w:val="24"/>
          <w:szCs w:val="24"/>
        </w:rPr>
        <w:t xml:space="preserve"> задолженности – 48000, из нее долгосрочная – 4000, просроченная – 1500,</w:t>
      </w:r>
    </w:p>
    <w:p w:rsidR="00DA5855" w:rsidRPr="009B6B18" w:rsidRDefault="00DA5855" w:rsidP="00DA5855">
      <w:pPr>
        <w:pStyle w:val="3"/>
        <w:spacing w:after="0" w:line="240" w:lineRule="auto"/>
        <w:ind w:left="0"/>
        <w:rPr>
          <w:rFonts w:ascii="Times New Roman" w:hAnsi="Times New Roman" w:cs="Times New Roman"/>
          <w:sz w:val="24"/>
          <w:szCs w:val="24"/>
        </w:rPr>
      </w:pPr>
      <w:proofErr w:type="gramStart"/>
      <w:r w:rsidRPr="009B6B18">
        <w:rPr>
          <w:rFonts w:ascii="Times New Roman" w:hAnsi="Times New Roman" w:cs="Times New Roman"/>
          <w:sz w:val="24"/>
          <w:szCs w:val="24"/>
        </w:rPr>
        <w:t>5.Изменение  балансовых</w:t>
      </w:r>
      <w:proofErr w:type="gramEnd"/>
      <w:r w:rsidRPr="009B6B18">
        <w:rPr>
          <w:rFonts w:ascii="Times New Roman" w:hAnsi="Times New Roman" w:cs="Times New Roman"/>
          <w:sz w:val="24"/>
          <w:szCs w:val="24"/>
        </w:rPr>
        <w:t xml:space="preserve"> остатков запасов за период (+,-)  + 5500.</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1.Исходя из приведенных данных определите показатели, которые характеризуют движение дебиторской и кредиторской задолженности (оборачиваемость).</w:t>
      </w:r>
    </w:p>
    <w:p w:rsidR="00DA5855" w:rsidRPr="009B6B18" w:rsidRDefault="00DA5855" w:rsidP="00DA5855">
      <w:pPr>
        <w:pStyle w:val="3"/>
        <w:spacing w:after="0" w:line="240" w:lineRule="auto"/>
        <w:ind w:left="0"/>
        <w:rPr>
          <w:rFonts w:ascii="Times New Roman" w:hAnsi="Times New Roman" w:cs="Times New Roman"/>
          <w:sz w:val="24"/>
          <w:szCs w:val="24"/>
        </w:rPr>
      </w:pPr>
      <w:r w:rsidRPr="009B6B18">
        <w:rPr>
          <w:rFonts w:ascii="Times New Roman" w:hAnsi="Times New Roman" w:cs="Times New Roman"/>
          <w:sz w:val="24"/>
          <w:szCs w:val="24"/>
        </w:rPr>
        <w:t xml:space="preserve">2.Сделайте выводы: выгодно ли предприятию работать при сложившихся условиях расчетов? </w:t>
      </w:r>
    </w:p>
    <w:p w:rsidR="008426E5" w:rsidRDefault="00DA5855" w:rsidP="00DA5855">
      <w:pPr>
        <w:rPr>
          <w:rFonts w:ascii="Times New Roman" w:hAnsi="Times New Roman" w:cs="Times New Roman"/>
          <w:sz w:val="24"/>
          <w:szCs w:val="24"/>
        </w:rPr>
      </w:pPr>
      <w:r w:rsidRPr="009B6B18">
        <w:rPr>
          <w:rFonts w:ascii="Times New Roman" w:hAnsi="Times New Roman" w:cs="Times New Roman"/>
          <w:sz w:val="24"/>
          <w:szCs w:val="24"/>
        </w:rPr>
        <w:t>3. Постройте платежный календарь на 2 полугодие 2016 г. на основе полученных данных</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52"/>
        <w:gridCol w:w="1002"/>
        <w:gridCol w:w="1133"/>
        <w:gridCol w:w="1133"/>
        <w:gridCol w:w="1007"/>
        <w:gridCol w:w="1255"/>
        <w:gridCol w:w="1174"/>
      </w:tblGrid>
      <w:tr w:rsidR="00DA5855" w:rsidRPr="009B6B18" w:rsidTr="00954B26">
        <w:trPr>
          <w:tblHeader/>
          <w:jc w:val="center"/>
        </w:trPr>
        <w:tc>
          <w:tcPr>
            <w:tcW w:w="1884" w:type="dxa"/>
            <w:vMerge w:val="restart"/>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Обозначение </w:t>
            </w:r>
          </w:p>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показателя </w:t>
            </w:r>
          </w:p>
        </w:tc>
        <w:tc>
          <w:tcPr>
            <w:tcW w:w="7556" w:type="dxa"/>
            <w:gridSpan w:val="7"/>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Вариант</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(определяется первой буквой фамилии)</w:t>
            </w:r>
          </w:p>
        </w:tc>
      </w:tr>
      <w:tr w:rsidR="00DA5855" w:rsidRPr="009B6B18" w:rsidTr="00954B26">
        <w:trPr>
          <w:tblHeader/>
          <w:jc w:val="center"/>
        </w:trPr>
        <w:tc>
          <w:tcPr>
            <w:tcW w:w="1884" w:type="dxa"/>
            <w:vMerge/>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b/>
                <w:sz w:val="24"/>
                <w:szCs w:val="24"/>
              </w:rPr>
            </w:pPr>
          </w:p>
        </w:tc>
      </w:tr>
      <w:tr w:rsidR="00DA5855" w:rsidRPr="009B6B18" w:rsidTr="00954B26">
        <w:trPr>
          <w:tblHeader/>
          <w:jc w:val="center"/>
        </w:trPr>
        <w:tc>
          <w:tcPr>
            <w:tcW w:w="1884" w:type="dxa"/>
            <w:vMerge/>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w:t>
            </w:r>
            <w:proofErr w:type="gramStart"/>
            <w:r w:rsidRPr="009B6B18">
              <w:rPr>
                <w:rFonts w:ascii="Times New Roman" w:eastAsia="Calibri" w:hAnsi="Times New Roman" w:cs="Times New Roman"/>
                <w:sz w:val="24"/>
                <w:szCs w:val="24"/>
              </w:rPr>
              <w:t>С,Т</w:t>
            </w:r>
            <w:proofErr w:type="gramEnd"/>
            <w:r w:rsidRPr="009B6B18">
              <w:rPr>
                <w:rFonts w:ascii="Times New Roman" w:eastAsia="Calibri" w:hAnsi="Times New Roman" w:cs="Times New Roman"/>
                <w:sz w:val="24"/>
                <w:szCs w:val="24"/>
              </w:rPr>
              <w:t>,</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roofErr w:type="gramStart"/>
            <w:r w:rsidRPr="009B6B18">
              <w:rPr>
                <w:rFonts w:ascii="Times New Roman" w:eastAsia="Calibri" w:hAnsi="Times New Roman" w:cs="Times New Roman"/>
                <w:sz w:val="24"/>
                <w:szCs w:val="24"/>
              </w:rPr>
              <w:t>У,Ф</w:t>
            </w:r>
            <w:proofErr w:type="gramEnd"/>
            <w:r w:rsidRPr="009B6B18">
              <w:rPr>
                <w:rFonts w:ascii="Times New Roman" w:eastAsia="Calibri" w:hAnsi="Times New Roman" w:cs="Times New Roman"/>
                <w:sz w:val="24"/>
                <w:szCs w:val="24"/>
              </w:rPr>
              <w:t>)</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Выручка, </w:t>
            </w:r>
            <w:proofErr w:type="spellStart"/>
            <w:r w:rsidRPr="009B6B18">
              <w:rPr>
                <w:rFonts w:ascii="Times New Roman" w:eastAsia="Calibri" w:hAnsi="Times New Roman" w:cs="Times New Roman"/>
                <w:sz w:val="24"/>
                <w:szCs w:val="24"/>
              </w:rPr>
              <w:t>тыс.руб</w:t>
            </w:r>
            <w:proofErr w:type="spellEnd"/>
            <w:r w:rsidRPr="009B6B18">
              <w:rPr>
                <w:rFonts w:ascii="Times New Roman" w:eastAsia="Calibri" w:hAnsi="Times New Roman" w:cs="Times New Roman"/>
                <w:sz w:val="24"/>
                <w:szCs w:val="24"/>
              </w:rPr>
              <w:t>.</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85000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proofErr w:type="gramStart"/>
            <w:r w:rsidRPr="009B6B18">
              <w:rPr>
                <w:rFonts w:ascii="Times New Roman" w:eastAsia="Calibri" w:hAnsi="Times New Roman" w:cs="Times New Roman"/>
                <w:sz w:val="24"/>
                <w:szCs w:val="24"/>
              </w:rPr>
              <w:t>Затраты  по</w:t>
            </w:r>
            <w:proofErr w:type="gramEnd"/>
            <w:r w:rsidRPr="009B6B18">
              <w:rPr>
                <w:rFonts w:ascii="Times New Roman" w:eastAsia="Calibri" w:hAnsi="Times New Roman" w:cs="Times New Roman"/>
                <w:sz w:val="24"/>
                <w:szCs w:val="24"/>
              </w:rPr>
              <w:t xml:space="preserve"> ОД, </w:t>
            </w:r>
            <w:proofErr w:type="spellStart"/>
            <w:r w:rsidRPr="009B6B18">
              <w:rPr>
                <w:rFonts w:ascii="Times New Roman" w:eastAsia="Calibri" w:hAnsi="Times New Roman" w:cs="Times New Roman"/>
                <w:sz w:val="24"/>
                <w:szCs w:val="24"/>
              </w:rPr>
              <w:t>тыс.руб</w:t>
            </w:r>
            <w:proofErr w:type="spellEnd"/>
            <w:r w:rsidRPr="009B6B18">
              <w:rPr>
                <w:rFonts w:ascii="Times New Roman" w:eastAsia="Calibri" w:hAnsi="Times New Roman" w:cs="Times New Roman"/>
                <w:sz w:val="24"/>
                <w:szCs w:val="24"/>
              </w:rPr>
              <w:t>.</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65000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Ср. остатки ДЗ,</w:t>
            </w:r>
          </w:p>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 xml:space="preserve">в </w:t>
            </w:r>
            <w:proofErr w:type="spellStart"/>
            <w:r w:rsidRPr="009B6B18">
              <w:rPr>
                <w:rFonts w:ascii="Times New Roman" w:hAnsi="Times New Roman" w:cs="Times New Roman"/>
                <w:sz w:val="24"/>
                <w:szCs w:val="24"/>
              </w:rPr>
              <w:t>т.ч</w:t>
            </w:r>
            <w:proofErr w:type="spellEnd"/>
            <w:r w:rsidRPr="009B6B18">
              <w:rPr>
                <w:rFonts w:ascii="Times New Roman" w:hAnsi="Times New Roman" w:cs="Times New Roman"/>
                <w:sz w:val="24"/>
                <w:szCs w:val="24"/>
              </w:rPr>
              <w:t>.</w:t>
            </w:r>
          </w:p>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Долгосрочная</w:t>
            </w:r>
          </w:p>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hAnsi="Times New Roman" w:cs="Times New Roman"/>
                <w:sz w:val="24"/>
                <w:szCs w:val="24"/>
              </w:rPr>
              <w:lastRenderedPageBreak/>
              <w:t xml:space="preserve">Просроченная </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25000</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2500</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lastRenderedPageBreak/>
              <w:t>1200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lastRenderedPageBreak/>
              <w:t>Ср. остатки КЗ,</w:t>
            </w:r>
          </w:p>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 xml:space="preserve">в </w:t>
            </w:r>
            <w:proofErr w:type="spellStart"/>
            <w:r w:rsidRPr="009B6B18">
              <w:rPr>
                <w:rFonts w:ascii="Times New Roman" w:hAnsi="Times New Roman" w:cs="Times New Roman"/>
                <w:sz w:val="24"/>
                <w:szCs w:val="24"/>
              </w:rPr>
              <w:t>т.ч</w:t>
            </w:r>
            <w:proofErr w:type="spellEnd"/>
            <w:r w:rsidRPr="009B6B18">
              <w:rPr>
                <w:rFonts w:ascii="Times New Roman" w:hAnsi="Times New Roman" w:cs="Times New Roman"/>
                <w:sz w:val="24"/>
                <w:szCs w:val="24"/>
              </w:rPr>
              <w:t>.</w:t>
            </w:r>
          </w:p>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Долгосрочная</w:t>
            </w:r>
          </w:p>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hAnsi="Times New Roman" w:cs="Times New Roman"/>
                <w:sz w:val="24"/>
                <w:szCs w:val="24"/>
              </w:rPr>
              <w:t xml:space="preserve">Просроченная </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35000</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2500</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560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884" w:type="dxa"/>
            <w:shd w:val="clear" w:color="auto" w:fill="auto"/>
          </w:tcPr>
          <w:p w:rsidR="00DA5855" w:rsidRPr="009B6B18" w:rsidRDefault="00DA5855" w:rsidP="00954B26">
            <w:pPr>
              <w:spacing w:after="0" w:line="240" w:lineRule="auto"/>
              <w:contextualSpacing/>
              <w:rPr>
                <w:rFonts w:ascii="Times New Roman" w:hAnsi="Times New Roman" w:cs="Times New Roman"/>
                <w:sz w:val="24"/>
                <w:szCs w:val="24"/>
              </w:rPr>
            </w:pPr>
            <w:r w:rsidRPr="009B6B18">
              <w:rPr>
                <w:rFonts w:ascii="Times New Roman" w:hAnsi="Times New Roman" w:cs="Times New Roman"/>
                <w:sz w:val="24"/>
                <w:szCs w:val="24"/>
              </w:rPr>
              <w:t xml:space="preserve">Изменение балансовых остатков запасов за период, </w:t>
            </w:r>
            <w:proofErr w:type="spellStart"/>
            <w:r w:rsidRPr="009B6B18">
              <w:rPr>
                <w:rFonts w:ascii="Times New Roman" w:hAnsi="Times New Roman" w:cs="Times New Roman"/>
                <w:sz w:val="24"/>
                <w:szCs w:val="24"/>
              </w:rPr>
              <w:t>тыс.руб</w:t>
            </w:r>
            <w:proofErr w:type="spellEnd"/>
            <w:r w:rsidRPr="009B6B18">
              <w:rPr>
                <w:rFonts w:ascii="Times New Roman" w:hAnsi="Times New Roman" w:cs="Times New Roman"/>
                <w:sz w:val="24"/>
                <w:szCs w:val="24"/>
              </w:rPr>
              <w:t xml:space="preserve">. </w:t>
            </w:r>
          </w:p>
        </w:tc>
        <w:tc>
          <w:tcPr>
            <w:tcW w:w="8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+3200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7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bl>
    <w:p w:rsidR="00DA5855" w:rsidRPr="009B6B18" w:rsidRDefault="00DA5855" w:rsidP="00DA5855">
      <w:pPr>
        <w:spacing w:after="0" w:line="240" w:lineRule="auto"/>
        <w:jc w:val="both"/>
        <w:rPr>
          <w:rFonts w:ascii="Times New Roman" w:hAnsi="Times New Roman" w:cs="Times New Roman"/>
          <w:sz w:val="24"/>
          <w:szCs w:val="24"/>
        </w:rPr>
      </w:pPr>
      <w:r w:rsidRPr="009B6B18">
        <w:rPr>
          <w:rFonts w:ascii="Times New Roman" w:hAnsi="Times New Roman" w:cs="Times New Roman"/>
          <w:sz w:val="24"/>
          <w:szCs w:val="24"/>
        </w:rPr>
        <w:t>3.</w:t>
      </w:r>
      <w:r w:rsidRPr="009B6B18">
        <w:rPr>
          <w:rFonts w:ascii="Times New Roman" w:hAnsi="Times New Roman" w:cs="Times New Roman"/>
          <w:b/>
          <w:sz w:val="24"/>
          <w:szCs w:val="24"/>
        </w:rPr>
        <w:t>Финансирование текущей деятельности</w:t>
      </w:r>
      <w:r w:rsidRPr="009B6B18">
        <w:rPr>
          <w:rFonts w:ascii="Times New Roman" w:hAnsi="Times New Roman" w:cs="Times New Roman"/>
          <w:sz w:val="24"/>
          <w:szCs w:val="24"/>
        </w:rPr>
        <w:t xml:space="preserve">. Оборачиваемость активов 2014 года составляла 1,95, в отчетном 2015 году этот показатель составил 1,59. Темп роста выручки в 2015 году составил – 120% по сравнению с 2014 годом, выручка 2014 – 6500 </w:t>
      </w:r>
      <w:proofErr w:type="spellStart"/>
      <w:r w:rsidRPr="009B6B18">
        <w:rPr>
          <w:rFonts w:ascii="Times New Roman" w:hAnsi="Times New Roman" w:cs="Times New Roman"/>
          <w:sz w:val="24"/>
          <w:szCs w:val="24"/>
        </w:rPr>
        <w:t>тыс.руб</w:t>
      </w:r>
      <w:proofErr w:type="spellEnd"/>
      <w:r w:rsidRPr="009B6B18">
        <w:rPr>
          <w:rFonts w:ascii="Times New Roman" w:hAnsi="Times New Roman" w:cs="Times New Roman"/>
          <w:sz w:val="24"/>
          <w:szCs w:val="24"/>
        </w:rPr>
        <w:t xml:space="preserve">. Определите величину привлеченных в оборот дополнительных средств (или высвобожденных средств). </w:t>
      </w:r>
    </w:p>
    <w:p w:rsidR="00DA5855" w:rsidRPr="009B6B18" w:rsidRDefault="00DA5855" w:rsidP="00DA5855">
      <w:pPr>
        <w:spacing w:after="0" w:line="240" w:lineRule="auto"/>
        <w:jc w:val="both"/>
        <w:rPr>
          <w:rFonts w:ascii="Times New Roman" w:hAnsi="Times New Roman" w:cs="Times New Roman"/>
          <w:sz w:val="24"/>
          <w:szCs w:val="24"/>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82"/>
        <w:gridCol w:w="891"/>
        <w:gridCol w:w="1219"/>
        <w:gridCol w:w="1119"/>
        <w:gridCol w:w="1004"/>
        <w:gridCol w:w="1240"/>
        <w:gridCol w:w="1259"/>
      </w:tblGrid>
      <w:tr w:rsidR="00DA5855" w:rsidRPr="009B6B18" w:rsidTr="00954B26">
        <w:trPr>
          <w:tblHeader/>
          <w:jc w:val="center"/>
        </w:trPr>
        <w:tc>
          <w:tcPr>
            <w:tcW w:w="1946" w:type="dxa"/>
            <w:vMerge w:val="restart"/>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Обозначение </w:t>
            </w:r>
          </w:p>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показателя </w:t>
            </w:r>
          </w:p>
        </w:tc>
        <w:tc>
          <w:tcPr>
            <w:tcW w:w="7595" w:type="dxa"/>
            <w:gridSpan w:val="7"/>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Вариант</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(определяется первой буквой фамилии)</w:t>
            </w:r>
          </w:p>
        </w:tc>
      </w:tr>
      <w:tr w:rsidR="00DA5855" w:rsidRPr="009B6B18" w:rsidTr="00954B26">
        <w:trPr>
          <w:tblHeader/>
          <w:jc w:val="center"/>
        </w:trPr>
        <w:tc>
          <w:tcPr>
            <w:tcW w:w="1946" w:type="dxa"/>
            <w:vMerge/>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b/>
                <w:sz w:val="24"/>
                <w:szCs w:val="24"/>
              </w:rPr>
            </w:pPr>
          </w:p>
        </w:tc>
      </w:tr>
      <w:tr w:rsidR="00DA5855" w:rsidRPr="009B6B18" w:rsidTr="00954B26">
        <w:trPr>
          <w:tblHeader/>
          <w:jc w:val="center"/>
        </w:trPr>
        <w:tc>
          <w:tcPr>
            <w:tcW w:w="1946" w:type="dxa"/>
            <w:vMerge/>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w:t>
            </w:r>
            <w:proofErr w:type="gramStart"/>
            <w:r w:rsidRPr="009B6B18">
              <w:rPr>
                <w:rFonts w:ascii="Times New Roman" w:eastAsia="Calibri" w:hAnsi="Times New Roman" w:cs="Times New Roman"/>
                <w:sz w:val="24"/>
                <w:szCs w:val="24"/>
              </w:rPr>
              <w:t>С,Т</w:t>
            </w:r>
            <w:proofErr w:type="gramEnd"/>
            <w:r w:rsidRPr="009B6B18">
              <w:rPr>
                <w:rFonts w:ascii="Times New Roman" w:eastAsia="Calibri" w:hAnsi="Times New Roman" w:cs="Times New Roman"/>
                <w:sz w:val="24"/>
                <w:szCs w:val="24"/>
              </w:rPr>
              <w:t>,</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roofErr w:type="gramStart"/>
            <w:r w:rsidRPr="009B6B18">
              <w:rPr>
                <w:rFonts w:ascii="Times New Roman" w:eastAsia="Calibri" w:hAnsi="Times New Roman" w:cs="Times New Roman"/>
                <w:sz w:val="24"/>
                <w:szCs w:val="24"/>
              </w:rPr>
              <w:t>У,Ф</w:t>
            </w:r>
            <w:proofErr w:type="gramEnd"/>
            <w:r w:rsidRPr="009B6B18">
              <w:rPr>
                <w:rFonts w:ascii="Times New Roman" w:eastAsia="Calibri" w:hAnsi="Times New Roman" w:cs="Times New Roman"/>
                <w:sz w:val="24"/>
                <w:szCs w:val="24"/>
              </w:rPr>
              <w:t>)</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946"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Оборачиваемость </w:t>
            </w:r>
          </w:p>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Активов (2014), обороты</w:t>
            </w: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2,45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946"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Оборачиваемость </w:t>
            </w:r>
          </w:p>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Активов (2015), обороты</w:t>
            </w: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3,5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946"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Выручка 2014, </w:t>
            </w:r>
            <w:proofErr w:type="spellStart"/>
            <w:r w:rsidRPr="009B6B18">
              <w:rPr>
                <w:rFonts w:ascii="Times New Roman" w:eastAsia="Calibri" w:hAnsi="Times New Roman" w:cs="Times New Roman"/>
                <w:sz w:val="24"/>
                <w:szCs w:val="24"/>
              </w:rPr>
              <w:t>тыс.руб</w:t>
            </w:r>
            <w:proofErr w:type="spellEnd"/>
            <w:r w:rsidRPr="009B6B18">
              <w:rPr>
                <w:rFonts w:ascii="Times New Roman" w:eastAsia="Calibri" w:hAnsi="Times New Roman" w:cs="Times New Roman"/>
                <w:sz w:val="24"/>
                <w:szCs w:val="24"/>
              </w:rPr>
              <w:t>.</w:t>
            </w: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17500</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1946"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Темп роста выручки 2015, %</w:t>
            </w:r>
          </w:p>
        </w:tc>
        <w:tc>
          <w:tcPr>
            <w:tcW w:w="79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0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34"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3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007"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135</w:t>
            </w:r>
          </w:p>
        </w:tc>
        <w:tc>
          <w:tcPr>
            <w:tcW w:w="125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7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bl>
    <w:p w:rsidR="00DA5855" w:rsidRPr="009B6B18" w:rsidRDefault="00DA5855" w:rsidP="00DA5855">
      <w:pPr>
        <w:spacing w:after="0" w:line="240" w:lineRule="auto"/>
        <w:jc w:val="both"/>
        <w:rPr>
          <w:rFonts w:ascii="Times New Roman" w:hAnsi="Times New Roman" w:cs="Times New Roman"/>
          <w:sz w:val="24"/>
          <w:szCs w:val="24"/>
        </w:rPr>
      </w:pPr>
    </w:p>
    <w:p w:rsidR="00DA5855" w:rsidRPr="009B6B18" w:rsidRDefault="00DA5855" w:rsidP="00DA5855">
      <w:pPr>
        <w:spacing w:after="0" w:line="240" w:lineRule="auto"/>
        <w:rPr>
          <w:rFonts w:ascii="Times New Roman" w:hAnsi="Times New Roman" w:cs="Times New Roman"/>
          <w:sz w:val="24"/>
          <w:szCs w:val="24"/>
        </w:rPr>
      </w:pPr>
    </w:p>
    <w:p w:rsidR="00DA5855" w:rsidRPr="009B6B18" w:rsidRDefault="00DA5855" w:rsidP="00DA5855">
      <w:pPr>
        <w:tabs>
          <w:tab w:val="center" w:pos="4677"/>
        </w:tabs>
        <w:spacing w:after="0" w:line="240" w:lineRule="auto"/>
        <w:rPr>
          <w:rFonts w:ascii="Times New Roman" w:hAnsi="Times New Roman" w:cs="Times New Roman"/>
          <w:sz w:val="24"/>
          <w:szCs w:val="24"/>
        </w:rPr>
      </w:pPr>
      <w:r w:rsidRPr="009B6B18">
        <w:rPr>
          <w:rFonts w:ascii="Times New Roman" w:hAnsi="Times New Roman" w:cs="Times New Roman"/>
          <w:sz w:val="24"/>
          <w:szCs w:val="24"/>
        </w:rPr>
        <w:t>4.</w:t>
      </w:r>
      <w:r w:rsidRPr="009B6B18">
        <w:rPr>
          <w:rFonts w:ascii="Times New Roman" w:hAnsi="Times New Roman" w:cs="Times New Roman"/>
          <w:b/>
          <w:sz w:val="24"/>
          <w:szCs w:val="24"/>
        </w:rPr>
        <w:t>Оценка стоимости финансовых активов</w:t>
      </w:r>
      <w:r w:rsidRPr="009B6B18">
        <w:rPr>
          <w:rFonts w:ascii="Times New Roman" w:hAnsi="Times New Roman" w:cs="Times New Roman"/>
          <w:sz w:val="24"/>
          <w:szCs w:val="24"/>
        </w:rPr>
        <w:t xml:space="preserve">. До погашения облигации номиналом 1000 руб. купонной ставкой 13%, годовой выплатой процентов, осталось 3 года. Доходность по сходным финансовым инструментам 10% годовых. </w:t>
      </w:r>
    </w:p>
    <w:p w:rsidR="00DA5855" w:rsidRPr="009B6B18" w:rsidRDefault="00DA5855" w:rsidP="00DA5855">
      <w:pPr>
        <w:tabs>
          <w:tab w:val="center" w:pos="4677"/>
        </w:tabs>
        <w:spacing w:after="0" w:line="240" w:lineRule="auto"/>
        <w:rPr>
          <w:rFonts w:ascii="Times New Roman" w:hAnsi="Times New Roman" w:cs="Times New Roman"/>
          <w:sz w:val="24"/>
          <w:szCs w:val="24"/>
        </w:rPr>
      </w:pPr>
      <w:r w:rsidRPr="009B6B18">
        <w:rPr>
          <w:rFonts w:ascii="Times New Roman" w:hAnsi="Times New Roman" w:cs="Times New Roman"/>
          <w:sz w:val="24"/>
          <w:szCs w:val="24"/>
        </w:rPr>
        <w:t>Какова рыночная стоимость облигации и как она изменится, если альтернативная доходность увеличится до 13%. Вывод обоснуйте</w:t>
      </w:r>
    </w:p>
    <w:p w:rsidR="00DA5855" w:rsidRPr="009B6B18" w:rsidRDefault="00DA5855" w:rsidP="00DA5855">
      <w:pPr>
        <w:tabs>
          <w:tab w:val="center" w:pos="4677"/>
        </w:tabs>
        <w:spacing w:after="0" w:line="240" w:lineRule="auto"/>
        <w:rPr>
          <w:rFonts w:ascii="Times New Roman" w:hAnsi="Times New Roman" w:cs="Times New Roman"/>
          <w:sz w:val="24"/>
          <w:szCs w:val="24"/>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67"/>
        <w:gridCol w:w="872"/>
        <w:gridCol w:w="1180"/>
        <w:gridCol w:w="1099"/>
        <w:gridCol w:w="985"/>
        <w:gridCol w:w="1210"/>
        <w:gridCol w:w="1221"/>
      </w:tblGrid>
      <w:tr w:rsidR="00DA5855" w:rsidRPr="009B6B18" w:rsidTr="00954B26">
        <w:trPr>
          <w:tblHeader/>
          <w:jc w:val="center"/>
        </w:trPr>
        <w:tc>
          <w:tcPr>
            <w:tcW w:w="2042" w:type="dxa"/>
            <w:vMerge w:val="restart"/>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Обозначение </w:t>
            </w:r>
          </w:p>
          <w:p w:rsidR="00DA5855" w:rsidRPr="009B6B18" w:rsidRDefault="00DA5855" w:rsidP="00954B26">
            <w:pPr>
              <w:spacing w:after="0" w:line="240" w:lineRule="auto"/>
              <w:contextualSpacing/>
              <w:jc w:val="both"/>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показателя </w:t>
            </w:r>
          </w:p>
        </w:tc>
        <w:tc>
          <w:tcPr>
            <w:tcW w:w="7499" w:type="dxa"/>
            <w:gridSpan w:val="7"/>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Вариант</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(определяется первой буквой фамилии)</w:t>
            </w:r>
          </w:p>
        </w:tc>
      </w:tr>
      <w:tr w:rsidR="00DA5855" w:rsidRPr="009B6B18" w:rsidTr="00954B26">
        <w:trPr>
          <w:tblHeader/>
          <w:jc w:val="center"/>
        </w:trPr>
        <w:tc>
          <w:tcPr>
            <w:tcW w:w="2042" w:type="dxa"/>
            <w:vMerge/>
            <w:shd w:val="clear" w:color="auto" w:fill="auto"/>
          </w:tcPr>
          <w:p w:rsidR="00DA5855" w:rsidRPr="009B6B18" w:rsidRDefault="00DA5855" w:rsidP="00954B26">
            <w:pPr>
              <w:spacing w:after="0" w:line="240" w:lineRule="auto"/>
              <w:contextualSpacing/>
              <w:jc w:val="both"/>
              <w:rPr>
                <w:rFonts w:ascii="Times New Roman" w:eastAsia="Calibri" w:hAnsi="Times New Roman" w:cs="Times New Roman"/>
                <w:sz w:val="24"/>
                <w:szCs w:val="24"/>
              </w:rPr>
            </w:pP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b/>
                <w:sz w:val="24"/>
                <w:szCs w:val="24"/>
              </w:rPr>
            </w:pPr>
          </w:p>
        </w:tc>
      </w:tr>
      <w:tr w:rsidR="00DA5855" w:rsidRPr="009B6B18" w:rsidTr="00954B26">
        <w:trPr>
          <w:tblHeader/>
          <w:jc w:val="center"/>
        </w:trPr>
        <w:tc>
          <w:tcPr>
            <w:tcW w:w="2042" w:type="dxa"/>
            <w:vMerge/>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w:t>
            </w:r>
            <w:proofErr w:type="gramStart"/>
            <w:r w:rsidRPr="009B6B18">
              <w:rPr>
                <w:rFonts w:ascii="Times New Roman" w:eastAsia="Calibri" w:hAnsi="Times New Roman" w:cs="Times New Roman"/>
                <w:sz w:val="24"/>
                <w:szCs w:val="24"/>
              </w:rPr>
              <w:t>С,Т</w:t>
            </w:r>
            <w:proofErr w:type="gramEnd"/>
            <w:r w:rsidRPr="009B6B18">
              <w:rPr>
                <w:rFonts w:ascii="Times New Roman" w:eastAsia="Calibri" w:hAnsi="Times New Roman" w:cs="Times New Roman"/>
                <w:sz w:val="24"/>
                <w:szCs w:val="24"/>
              </w:rPr>
              <w:t>,</w:t>
            </w:r>
          </w:p>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roofErr w:type="gramStart"/>
            <w:r w:rsidRPr="009B6B18">
              <w:rPr>
                <w:rFonts w:ascii="Times New Roman" w:eastAsia="Calibri" w:hAnsi="Times New Roman" w:cs="Times New Roman"/>
                <w:sz w:val="24"/>
                <w:szCs w:val="24"/>
              </w:rPr>
              <w:t>У,Ф</w:t>
            </w:r>
            <w:proofErr w:type="gramEnd"/>
            <w:r w:rsidRPr="009B6B18">
              <w:rPr>
                <w:rFonts w:ascii="Times New Roman" w:eastAsia="Calibri" w:hAnsi="Times New Roman" w:cs="Times New Roman"/>
                <w:sz w:val="24"/>
                <w:szCs w:val="24"/>
              </w:rPr>
              <w:t>)</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2042"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Номинал, руб.</w:t>
            </w: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5000</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2042"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lastRenderedPageBreak/>
              <w:t>Купонная ставка, %</w:t>
            </w: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13</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bookmarkStart w:id="0" w:name="_GoBack"/>
            <w:bookmarkEnd w:id="0"/>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2042"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 xml:space="preserve">Доходность по аналогичным </w:t>
            </w:r>
            <w:proofErr w:type="spellStart"/>
            <w:r w:rsidRPr="009B6B18">
              <w:rPr>
                <w:rFonts w:ascii="Times New Roman" w:eastAsia="Calibri" w:hAnsi="Times New Roman" w:cs="Times New Roman"/>
                <w:sz w:val="24"/>
                <w:szCs w:val="24"/>
              </w:rPr>
              <w:t>фин.инструментам</w:t>
            </w:r>
            <w:proofErr w:type="spellEnd"/>
            <w:r w:rsidRPr="009B6B18">
              <w:rPr>
                <w:rFonts w:ascii="Times New Roman" w:eastAsia="Calibri" w:hAnsi="Times New Roman" w:cs="Times New Roman"/>
                <w:sz w:val="24"/>
                <w:szCs w:val="24"/>
              </w:rPr>
              <w:t>, %</w:t>
            </w: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10</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2042"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Период, лет</w:t>
            </w: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3</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r w:rsidR="00DA5855" w:rsidRPr="009B6B18" w:rsidTr="00954B26">
        <w:trPr>
          <w:jc w:val="center"/>
        </w:trPr>
        <w:tc>
          <w:tcPr>
            <w:tcW w:w="2042" w:type="dxa"/>
            <w:shd w:val="clear" w:color="auto" w:fill="auto"/>
          </w:tcPr>
          <w:p w:rsidR="00DA5855" w:rsidRPr="009B6B18" w:rsidRDefault="00DA5855" w:rsidP="00954B26">
            <w:pPr>
              <w:spacing w:after="0" w:line="240" w:lineRule="auto"/>
              <w:contextualSpacing/>
              <w:rPr>
                <w:rFonts w:ascii="Times New Roman" w:eastAsia="Calibri" w:hAnsi="Times New Roman" w:cs="Times New Roman"/>
                <w:sz w:val="24"/>
                <w:szCs w:val="24"/>
              </w:rPr>
            </w:pPr>
            <w:r w:rsidRPr="009B6B18">
              <w:rPr>
                <w:rFonts w:ascii="Times New Roman" w:eastAsia="Calibri" w:hAnsi="Times New Roman" w:cs="Times New Roman"/>
                <w:sz w:val="24"/>
                <w:szCs w:val="24"/>
              </w:rPr>
              <w:t>Альтернативная доходность, % (если увеличение до…%)</w:t>
            </w:r>
          </w:p>
        </w:tc>
        <w:tc>
          <w:tcPr>
            <w:tcW w:w="785"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89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10"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126"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993"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r w:rsidRPr="009B6B18">
              <w:rPr>
                <w:rFonts w:ascii="Times New Roman" w:eastAsia="Calibri" w:hAnsi="Times New Roman" w:cs="Times New Roman"/>
                <w:sz w:val="24"/>
                <w:szCs w:val="24"/>
              </w:rPr>
              <w:t>13</w:t>
            </w:r>
          </w:p>
        </w:tc>
        <w:tc>
          <w:tcPr>
            <w:tcW w:w="1241"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c>
          <w:tcPr>
            <w:tcW w:w="1252" w:type="dxa"/>
            <w:shd w:val="clear" w:color="auto" w:fill="auto"/>
          </w:tcPr>
          <w:p w:rsidR="00DA5855" w:rsidRPr="009B6B18" w:rsidRDefault="00DA5855" w:rsidP="00954B26">
            <w:pPr>
              <w:spacing w:after="0" w:line="240" w:lineRule="auto"/>
              <w:contextualSpacing/>
              <w:jc w:val="center"/>
              <w:rPr>
                <w:rFonts w:ascii="Times New Roman" w:eastAsia="Calibri" w:hAnsi="Times New Roman" w:cs="Times New Roman"/>
                <w:sz w:val="24"/>
                <w:szCs w:val="24"/>
              </w:rPr>
            </w:pPr>
          </w:p>
        </w:tc>
      </w:tr>
    </w:tbl>
    <w:p w:rsidR="00DA5855" w:rsidRPr="009B6B18" w:rsidRDefault="00DA5855" w:rsidP="00DA5855">
      <w:pPr>
        <w:tabs>
          <w:tab w:val="center" w:pos="4677"/>
        </w:tabs>
        <w:spacing w:after="0" w:line="240" w:lineRule="auto"/>
        <w:rPr>
          <w:rFonts w:ascii="Times New Roman" w:hAnsi="Times New Roman" w:cs="Times New Roman"/>
          <w:sz w:val="24"/>
          <w:szCs w:val="24"/>
        </w:rPr>
      </w:pPr>
    </w:p>
    <w:p w:rsidR="00DA5855" w:rsidRPr="009B6B18" w:rsidRDefault="00DA5855" w:rsidP="00DA5855">
      <w:pPr>
        <w:pStyle w:val="a3"/>
        <w:spacing w:after="0" w:line="240" w:lineRule="auto"/>
        <w:ind w:left="840"/>
        <w:rPr>
          <w:rFonts w:ascii="Times New Roman" w:hAnsi="Times New Roman" w:cs="Times New Roman"/>
          <w:b/>
          <w:sz w:val="24"/>
          <w:szCs w:val="24"/>
        </w:rPr>
      </w:pPr>
      <w:r w:rsidRPr="009B6B18">
        <w:rPr>
          <w:rFonts w:ascii="Times New Roman" w:hAnsi="Times New Roman" w:cs="Times New Roman"/>
          <w:b/>
          <w:sz w:val="24"/>
          <w:szCs w:val="24"/>
        </w:rPr>
        <w:t>Методические рекомендации по выполнению контрольной работы:</w:t>
      </w:r>
    </w:p>
    <w:p w:rsidR="00DA5855" w:rsidRPr="009B6B18" w:rsidRDefault="00DA5855" w:rsidP="00DA5855">
      <w:pPr>
        <w:spacing w:after="0" w:line="240" w:lineRule="auto"/>
        <w:rPr>
          <w:rFonts w:ascii="Times New Roman" w:hAnsi="Times New Roman" w:cs="Times New Roman"/>
          <w:b/>
          <w:sz w:val="24"/>
          <w:szCs w:val="24"/>
        </w:rPr>
      </w:pPr>
    </w:p>
    <w:p w:rsidR="00DA5855" w:rsidRPr="009B6B18" w:rsidRDefault="00DA5855" w:rsidP="00DA5855">
      <w:pPr>
        <w:spacing w:after="0" w:line="240" w:lineRule="auto"/>
        <w:rPr>
          <w:rFonts w:ascii="Times New Roman" w:hAnsi="Times New Roman" w:cs="Times New Roman"/>
          <w:sz w:val="24"/>
          <w:szCs w:val="24"/>
        </w:rPr>
      </w:pPr>
      <w:r w:rsidRPr="009B6B18">
        <w:rPr>
          <w:rFonts w:ascii="Times New Roman" w:hAnsi="Times New Roman" w:cs="Times New Roman"/>
          <w:b/>
          <w:sz w:val="24"/>
          <w:szCs w:val="24"/>
        </w:rPr>
        <w:t xml:space="preserve">Пояснения к задаче 1. </w:t>
      </w:r>
      <w:r w:rsidRPr="009B6B18">
        <w:rPr>
          <w:rFonts w:ascii="Times New Roman" w:hAnsi="Times New Roman" w:cs="Times New Roman"/>
          <w:sz w:val="24"/>
          <w:szCs w:val="24"/>
        </w:rPr>
        <w:t xml:space="preserve">При решении задачи возможно применение модели оценки оптимального размера запасов (модель Уилсона). Для </w:t>
      </w:r>
      <w:proofErr w:type="gramStart"/>
      <w:r w:rsidRPr="009B6B18">
        <w:rPr>
          <w:rFonts w:ascii="Times New Roman" w:hAnsi="Times New Roman" w:cs="Times New Roman"/>
          <w:sz w:val="24"/>
          <w:szCs w:val="24"/>
        </w:rPr>
        <w:t>использования  модели</w:t>
      </w:r>
      <w:proofErr w:type="gramEnd"/>
      <w:r w:rsidRPr="009B6B18">
        <w:rPr>
          <w:rFonts w:ascii="Times New Roman" w:hAnsi="Times New Roman" w:cs="Times New Roman"/>
          <w:sz w:val="24"/>
          <w:szCs w:val="24"/>
        </w:rPr>
        <w:t xml:space="preserve"> все затраты предприятия, связанные с образованием запасов делят на 2 группы: </w:t>
      </w:r>
    </w:p>
    <w:p w:rsidR="00DA5855" w:rsidRPr="009B6B18" w:rsidRDefault="00DA5855" w:rsidP="00DA5855">
      <w:pPr>
        <w:spacing w:after="0" w:line="240" w:lineRule="auto"/>
        <w:rPr>
          <w:rFonts w:ascii="Times New Roman" w:hAnsi="Times New Roman" w:cs="Times New Roman"/>
          <w:sz w:val="24"/>
          <w:szCs w:val="24"/>
        </w:rPr>
      </w:pPr>
      <w:r w:rsidRPr="009B6B18">
        <w:rPr>
          <w:rFonts w:ascii="Times New Roman" w:hAnsi="Times New Roman" w:cs="Times New Roman"/>
          <w:sz w:val="24"/>
          <w:szCs w:val="24"/>
        </w:rPr>
        <w:t>1 группа (С1) – затраты, связанные с содержанием одной партии заказа на складе, т.е. затраты на хранение, и 2 группа (С2</w:t>
      </w:r>
      <w:proofErr w:type="gramStart"/>
      <w:r w:rsidRPr="009B6B18">
        <w:rPr>
          <w:rFonts w:ascii="Times New Roman" w:hAnsi="Times New Roman" w:cs="Times New Roman"/>
          <w:sz w:val="24"/>
          <w:szCs w:val="24"/>
        </w:rPr>
        <w:t>)  -</w:t>
      </w:r>
      <w:proofErr w:type="gramEnd"/>
      <w:r w:rsidRPr="009B6B18">
        <w:rPr>
          <w:rFonts w:ascii="Times New Roman" w:hAnsi="Times New Roman" w:cs="Times New Roman"/>
          <w:sz w:val="24"/>
          <w:szCs w:val="24"/>
        </w:rPr>
        <w:t xml:space="preserve"> затраты на обслуживание партии заказа.</w:t>
      </w:r>
    </w:p>
    <w:p w:rsidR="00DA5855" w:rsidRPr="009B6B18" w:rsidRDefault="00DA5855" w:rsidP="00DA5855">
      <w:pPr>
        <w:spacing w:after="0" w:line="240" w:lineRule="auto"/>
        <w:rPr>
          <w:rFonts w:ascii="Times New Roman" w:hAnsi="Times New Roman" w:cs="Times New Roman"/>
          <w:sz w:val="24"/>
          <w:szCs w:val="24"/>
        </w:rPr>
      </w:pPr>
      <w:r w:rsidRPr="009B6B18">
        <w:rPr>
          <w:rFonts w:ascii="Times New Roman" w:hAnsi="Times New Roman" w:cs="Times New Roman"/>
          <w:sz w:val="24"/>
          <w:szCs w:val="24"/>
        </w:rPr>
        <w:t>Обозначим С1 – затраты по хранению единицы запаса на складе.</w:t>
      </w:r>
    </w:p>
    <w:p w:rsidR="00DA5855" w:rsidRPr="009B6B18" w:rsidRDefault="00DA5855" w:rsidP="00DA5855">
      <w:pPr>
        <w:spacing w:after="0" w:line="240" w:lineRule="auto"/>
        <w:rPr>
          <w:rFonts w:ascii="Times New Roman" w:hAnsi="Times New Roman" w:cs="Times New Roman"/>
          <w:sz w:val="24"/>
          <w:szCs w:val="24"/>
        </w:rPr>
      </w:pPr>
      <w:r w:rsidRPr="009B6B18">
        <w:rPr>
          <w:rFonts w:ascii="Times New Roman" w:hAnsi="Times New Roman" w:cs="Times New Roman"/>
          <w:sz w:val="24"/>
          <w:szCs w:val="24"/>
        </w:rPr>
        <w:t xml:space="preserve">При равномерном производственном цикле и поставках, допускаем, что среднегодовой размер запаса определенного вида сырья на складе = Х/2, тогда суммарные затраты на хранение среднегодового запаса сырья, материалов на складе (С1*Х/2), а средние затраты на обслуживание заказов в год (С2 * </w:t>
      </w:r>
      <w:r w:rsidRPr="009B6B18">
        <w:rPr>
          <w:rFonts w:ascii="Times New Roman" w:hAnsi="Times New Roman" w:cs="Times New Roman"/>
          <w:sz w:val="24"/>
          <w:szCs w:val="24"/>
          <w:lang w:val="en-US"/>
        </w:rPr>
        <w:t>Q</w:t>
      </w:r>
      <w:r w:rsidRPr="009B6B18">
        <w:rPr>
          <w:rFonts w:ascii="Times New Roman" w:hAnsi="Times New Roman" w:cs="Times New Roman"/>
          <w:sz w:val="24"/>
          <w:szCs w:val="24"/>
        </w:rPr>
        <w:t>/</w:t>
      </w:r>
      <w:r w:rsidRPr="009B6B18">
        <w:rPr>
          <w:rFonts w:ascii="Times New Roman" w:hAnsi="Times New Roman" w:cs="Times New Roman"/>
          <w:sz w:val="24"/>
          <w:szCs w:val="24"/>
          <w:lang w:val="en-US"/>
        </w:rPr>
        <w:t>X</w:t>
      </w:r>
      <w:r w:rsidRPr="009B6B18">
        <w:rPr>
          <w:rFonts w:ascii="Times New Roman" w:hAnsi="Times New Roman" w:cs="Times New Roman"/>
          <w:sz w:val="24"/>
          <w:szCs w:val="24"/>
        </w:rPr>
        <w:t xml:space="preserve">), где Х – единица запаса сырья, материалов, </w:t>
      </w:r>
      <w:r w:rsidRPr="009B6B18">
        <w:rPr>
          <w:rFonts w:ascii="Times New Roman" w:hAnsi="Times New Roman" w:cs="Times New Roman"/>
          <w:sz w:val="24"/>
          <w:szCs w:val="24"/>
          <w:lang w:val="en-US"/>
        </w:rPr>
        <w:t>Q</w:t>
      </w:r>
      <w:r w:rsidRPr="009B6B18">
        <w:rPr>
          <w:rFonts w:ascii="Times New Roman" w:hAnsi="Times New Roman" w:cs="Times New Roman"/>
          <w:sz w:val="24"/>
          <w:szCs w:val="24"/>
        </w:rPr>
        <w:t xml:space="preserve"> –    </w:t>
      </w:r>
    </w:p>
    <w:p w:rsidR="00DA5855" w:rsidRPr="009B6B18" w:rsidRDefault="00DA5855" w:rsidP="00DA5855">
      <w:pPr>
        <w:spacing w:after="0" w:line="240" w:lineRule="auto"/>
        <w:rPr>
          <w:rFonts w:ascii="Times New Roman" w:hAnsi="Times New Roman" w:cs="Times New Roman"/>
          <w:sz w:val="24"/>
          <w:szCs w:val="24"/>
        </w:rPr>
      </w:pPr>
      <w:r w:rsidRPr="009B6B18">
        <w:rPr>
          <w:rFonts w:ascii="Times New Roman" w:hAnsi="Times New Roman" w:cs="Times New Roman"/>
          <w:sz w:val="24"/>
          <w:szCs w:val="24"/>
        </w:rPr>
        <w:t xml:space="preserve">В общем виде методика выражается формулой: </w:t>
      </w:r>
    </w:p>
    <w:p w:rsidR="00DA5855" w:rsidRPr="009B6B18" w:rsidRDefault="00DA5855" w:rsidP="00DA585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213995</wp:posOffset>
                </wp:positionV>
                <wp:extent cx="228600" cy="0"/>
                <wp:effectExtent l="13335" t="54610" r="15240" b="596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8E24"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85pt" to="25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213995</wp:posOffset>
                </wp:positionV>
                <wp:extent cx="114300" cy="0"/>
                <wp:effectExtent l="13335" t="54610" r="15240" b="596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ADE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85pt" to="11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">
                <v:stroke endarrow="block"/>
              </v:line>
            </w:pict>
          </mc:Fallback>
        </mc:AlternateContent>
      </w:r>
      <w:r w:rsidRPr="009B6B18">
        <w:rPr>
          <w:rFonts w:ascii="Times New Roman" w:hAnsi="Times New Roman" w:cs="Times New Roman"/>
          <w:sz w:val="24"/>
          <w:szCs w:val="24"/>
        </w:rPr>
        <w:t xml:space="preserve">    </w:t>
      </w:r>
      <w:r w:rsidRPr="009B6B18">
        <w:rPr>
          <w:rFonts w:ascii="Times New Roman" w:hAnsi="Times New Roman" w:cs="Times New Roman"/>
          <w:position w:val="-24"/>
          <w:sz w:val="24"/>
          <w:szCs w:val="24"/>
          <w:lang w:val="en-US"/>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1.2pt" o:ole="">
            <v:imagedata r:id="rId5" o:title=""/>
          </v:shape>
          <o:OLEObject Type="Embed" ProgID="Equation.3" ShapeID="_x0000_i1025" DrawAspect="Content" ObjectID="_1556094281" r:id="rId6"/>
        </w:object>
      </w:r>
      <w:r w:rsidRPr="009B6B18">
        <w:rPr>
          <w:rFonts w:ascii="Times New Roman" w:hAnsi="Times New Roman" w:cs="Times New Roman"/>
          <w:sz w:val="24"/>
          <w:szCs w:val="24"/>
        </w:rPr>
        <w:t xml:space="preserve">     </w:t>
      </w:r>
      <w:r w:rsidRPr="009B6B18">
        <w:rPr>
          <w:rFonts w:ascii="Times New Roman" w:hAnsi="Times New Roman" w:cs="Times New Roman"/>
          <w:position w:val="-24"/>
          <w:sz w:val="24"/>
          <w:szCs w:val="24"/>
          <w:lang w:val="en-US"/>
        </w:rPr>
        <w:object w:dxaOrig="2200" w:dyaOrig="639">
          <v:shape id="_x0000_i1026" type="#_x0000_t75" style="width:111pt;height:32.4pt" o:ole="">
            <v:imagedata r:id="rId7" o:title=""/>
          </v:shape>
          <o:OLEObject Type="Embed" ProgID="Equation.3" ShapeID="_x0000_i1026" DrawAspect="Content" ObjectID="_1556094282" r:id="rId8"/>
        </w:object>
      </w:r>
      <w:r w:rsidRPr="009B6B18">
        <w:rPr>
          <w:rFonts w:ascii="Times New Roman" w:hAnsi="Times New Roman" w:cs="Times New Roman"/>
          <w:sz w:val="24"/>
          <w:szCs w:val="24"/>
        </w:rPr>
        <w:t xml:space="preserve">          </w:t>
      </w:r>
      <w:r w:rsidRPr="009B6B18">
        <w:rPr>
          <w:rFonts w:ascii="Times New Roman" w:hAnsi="Times New Roman" w:cs="Times New Roman"/>
          <w:position w:val="-26"/>
          <w:sz w:val="24"/>
          <w:szCs w:val="24"/>
        </w:rPr>
        <w:object w:dxaOrig="1700" w:dyaOrig="700">
          <v:shape id="_x0000_i1027" type="#_x0000_t75" style="width:84.6pt;height:34.8pt" o:ole="">
            <v:imagedata r:id="rId9" o:title=""/>
          </v:shape>
          <o:OLEObject Type="Embed" ProgID="Equation.3" ShapeID="_x0000_i1027" DrawAspect="Content" ObjectID="_1556094283" r:id="rId10"/>
        </w:object>
      </w:r>
    </w:p>
    <w:p w:rsidR="00DA5855" w:rsidRPr="009B6B18" w:rsidRDefault="00DA5855" w:rsidP="00DA5855">
      <w:pPr>
        <w:pStyle w:val="a4"/>
        <w:jc w:val="both"/>
        <w:rPr>
          <w:bCs/>
        </w:rPr>
      </w:pPr>
      <w:r w:rsidRPr="009B6B18">
        <w:rPr>
          <w:b/>
        </w:rPr>
        <w:t xml:space="preserve">Пояснения к задаче 2. </w:t>
      </w:r>
      <w:r w:rsidRPr="009B6B18">
        <w:rPr>
          <w:bCs/>
        </w:rPr>
        <w:t>Оборачиваемость дебиторской задолженности</w:t>
      </w:r>
      <w:r w:rsidRPr="009B6B18">
        <w:t xml:space="preserve"> (ДЗ) – показатель, с помощью которого измеряют скорость погашения дебиторской задолженности организации, насколько быстро организация получает оплату за проданные товары (работы, услуги) от своих покупателей. Коэффициент оборачиваемости ДЗ показывает, сколько раз за период (квартал, полугодие, год) организация получила от покупателей оплату в размере среднего остатка неоплаченной задолженности. Показатель измеряет эффективность работы с покупателями в части взыскания дебиторской задолженности, а также отражает политику организации в отношении продаж в кредит. </w:t>
      </w:r>
      <w:r w:rsidRPr="009B6B18">
        <w:rPr>
          <w:bCs/>
        </w:rPr>
        <w:t xml:space="preserve">Расчет показателя: </w:t>
      </w:r>
    </w:p>
    <w:p w:rsidR="00DA5855" w:rsidRPr="009B6B18" w:rsidRDefault="00DA5855" w:rsidP="00DA5855">
      <w:pPr>
        <w:pStyle w:val="a4"/>
        <w:spacing w:before="0" w:beforeAutospacing="0" w:after="0" w:afterAutospacing="0"/>
        <w:jc w:val="both"/>
      </w:pPr>
      <w:r w:rsidRPr="009B6B18">
        <w:t xml:space="preserve">1.Оборачиваемость ДЗ (в оборотах) = Выручка / Средний остаток ДЗ по балансу </w:t>
      </w:r>
    </w:p>
    <w:p w:rsidR="00DA5855" w:rsidRPr="009B6B18" w:rsidRDefault="00DA5855" w:rsidP="00DA5855">
      <w:pPr>
        <w:spacing w:after="0" w:line="240" w:lineRule="auto"/>
        <w:jc w:val="both"/>
        <w:rPr>
          <w:rFonts w:ascii="Times New Roman" w:eastAsia="Times New Roman" w:hAnsi="Times New Roman" w:cs="Times New Roman"/>
          <w:sz w:val="24"/>
          <w:szCs w:val="24"/>
          <w:lang w:eastAsia="ru-RU"/>
        </w:rPr>
      </w:pPr>
      <w:r w:rsidRPr="009B6B18">
        <w:rPr>
          <w:rFonts w:ascii="Times New Roman" w:hAnsi="Times New Roman" w:cs="Times New Roman"/>
          <w:sz w:val="24"/>
          <w:szCs w:val="24"/>
        </w:rPr>
        <w:t xml:space="preserve">2. </w:t>
      </w:r>
      <w:r w:rsidRPr="009B6B18">
        <w:rPr>
          <w:rFonts w:ascii="Times New Roman" w:eastAsia="Times New Roman" w:hAnsi="Times New Roman" w:cs="Times New Roman"/>
          <w:sz w:val="24"/>
          <w:szCs w:val="24"/>
          <w:lang w:eastAsia="ru-RU"/>
        </w:rPr>
        <w:t>Оборачиваемость ДЗ (в днях) = 365 (180, 90) / К-т оборачиваемости ДЗ в оборотах</w:t>
      </w:r>
    </w:p>
    <w:p w:rsidR="00DA5855" w:rsidRPr="009B6B18" w:rsidRDefault="00DA5855" w:rsidP="00DA5855">
      <w:pPr>
        <w:spacing w:after="0" w:line="240" w:lineRule="auto"/>
        <w:jc w:val="both"/>
        <w:rPr>
          <w:rFonts w:ascii="Times New Roman" w:eastAsia="Times New Roman" w:hAnsi="Times New Roman" w:cs="Times New Roman"/>
          <w:sz w:val="24"/>
          <w:szCs w:val="24"/>
          <w:lang w:eastAsia="ru-RU"/>
        </w:rPr>
      </w:pPr>
    </w:p>
    <w:p w:rsidR="00DA5855" w:rsidRPr="009B6B18" w:rsidRDefault="00DA5855" w:rsidP="00DA5855">
      <w:pPr>
        <w:spacing w:after="0" w:line="240" w:lineRule="auto"/>
        <w:jc w:val="both"/>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В числителе «Выручка», поскольку она представляет собой полученную предприятием ДЗ. Средний остаток дебиторской задолженности должен уточняться (корректироваться) на величину долгосрочной и просроченной ДЗ: Ср. остаток ДЗ – долгосрочная - просроченная ДЗ. Полученные таким образом величины отражают реальные к получению суммы ДЗ в краткосрочном периоде и могут использоваться для построения платежного календаря на предстоящий период.</w:t>
      </w:r>
    </w:p>
    <w:p w:rsidR="00DA5855" w:rsidRPr="009B6B18" w:rsidRDefault="00DA5855" w:rsidP="00DA5855">
      <w:pPr>
        <w:spacing w:after="0" w:line="240" w:lineRule="auto"/>
        <w:jc w:val="both"/>
        <w:outlineLvl w:val="2"/>
        <w:rPr>
          <w:rFonts w:ascii="Times New Roman" w:eastAsia="Times New Roman" w:hAnsi="Times New Roman" w:cs="Times New Roman"/>
          <w:sz w:val="24"/>
          <w:szCs w:val="24"/>
          <w:lang w:eastAsia="ru-RU"/>
        </w:rPr>
      </w:pPr>
    </w:p>
    <w:tbl>
      <w:tblPr>
        <w:tblStyle w:val="a5"/>
        <w:tblW w:w="0" w:type="auto"/>
        <w:jc w:val="center"/>
        <w:tblLook w:val="04A0" w:firstRow="1" w:lastRow="0" w:firstColumn="1" w:lastColumn="0" w:noHBand="0" w:noVBand="1"/>
      </w:tblPr>
      <w:tblGrid>
        <w:gridCol w:w="1915"/>
        <w:gridCol w:w="2337"/>
        <w:gridCol w:w="1914"/>
        <w:gridCol w:w="2765"/>
      </w:tblGrid>
      <w:tr w:rsidR="00DA5855" w:rsidRPr="009B6B18" w:rsidTr="00954B26">
        <w:trPr>
          <w:jc w:val="center"/>
        </w:trPr>
        <w:tc>
          <w:tcPr>
            <w:tcW w:w="1915" w:type="dxa"/>
          </w:tcPr>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 дня</w:t>
            </w:r>
          </w:p>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по порядку</w:t>
            </w:r>
          </w:p>
        </w:tc>
        <w:tc>
          <w:tcPr>
            <w:tcW w:w="2337" w:type="dxa"/>
          </w:tcPr>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Сумма ДЗ,</w:t>
            </w:r>
          </w:p>
          <w:p w:rsidR="00DA5855" w:rsidRPr="009B6B18" w:rsidRDefault="00DA5855" w:rsidP="00954B26">
            <w:pPr>
              <w:jc w:val="center"/>
              <w:outlineLvl w:val="2"/>
              <w:rPr>
                <w:rFonts w:ascii="Times New Roman" w:eastAsia="Times New Roman" w:hAnsi="Times New Roman" w:cs="Times New Roman"/>
                <w:sz w:val="24"/>
                <w:szCs w:val="24"/>
                <w:lang w:eastAsia="ru-RU"/>
              </w:rPr>
            </w:pPr>
            <w:proofErr w:type="spellStart"/>
            <w:r w:rsidRPr="009B6B18">
              <w:rPr>
                <w:rFonts w:ascii="Times New Roman" w:eastAsia="Times New Roman" w:hAnsi="Times New Roman" w:cs="Times New Roman"/>
                <w:sz w:val="24"/>
                <w:szCs w:val="24"/>
                <w:lang w:eastAsia="ru-RU"/>
              </w:rPr>
              <w:t>Тыс.руб</w:t>
            </w:r>
            <w:proofErr w:type="spellEnd"/>
            <w:r w:rsidRPr="009B6B18">
              <w:rPr>
                <w:rFonts w:ascii="Times New Roman" w:eastAsia="Times New Roman" w:hAnsi="Times New Roman" w:cs="Times New Roman"/>
                <w:sz w:val="24"/>
                <w:szCs w:val="24"/>
                <w:lang w:eastAsia="ru-RU"/>
              </w:rPr>
              <w:t>.</w:t>
            </w:r>
          </w:p>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(поступление)</w:t>
            </w:r>
          </w:p>
        </w:tc>
        <w:tc>
          <w:tcPr>
            <w:tcW w:w="1914" w:type="dxa"/>
          </w:tcPr>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Сумма КЗ,</w:t>
            </w:r>
          </w:p>
          <w:p w:rsidR="00DA5855" w:rsidRPr="009B6B18" w:rsidRDefault="00DA5855" w:rsidP="00954B26">
            <w:pPr>
              <w:jc w:val="center"/>
              <w:outlineLvl w:val="2"/>
              <w:rPr>
                <w:rFonts w:ascii="Times New Roman" w:eastAsia="Times New Roman" w:hAnsi="Times New Roman" w:cs="Times New Roman"/>
                <w:sz w:val="24"/>
                <w:szCs w:val="24"/>
                <w:lang w:eastAsia="ru-RU"/>
              </w:rPr>
            </w:pPr>
            <w:proofErr w:type="spellStart"/>
            <w:r w:rsidRPr="009B6B18">
              <w:rPr>
                <w:rFonts w:ascii="Times New Roman" w:eastAsia="Times New Roman" w:hAnsi="Times New Roman" w:cs="Times New Roman"/>
                <w:sz w:val="24"/>
                <w:szCs w:val="24"/>
                <w:lang w:eastAsia="ru-RU"/>
              </w:rPr>
              <w:t>Тыс.руб</w:t>
            </w:r>
            <w:proofErr w:type="spellEnd"/>
            <w:r w:rsidRPr="009B6B18">
              <w:rPr>
                <w:rFonts w:ascii="Times New Roman" w:eastAsia="Times New Roman" w:hAnsi="Times New Roman" w:cs="Times New Roman"/>
                <w:sz w:val="24"/>
                <w:szCs w:val="24"/>
                <w:lang w:eastAsia="ru-RU"/>
              </w:rPr>
              <w:t>.</w:t>
            </w:r>
          </w:p>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(выбытие)</w:t>
            </w:r>
          </w:p>
        </w:tc>
        <w:tc>
          <w:tcPr>
            <w:tcW w:w="2765" w:type="dxa"/>
          </w:tcPr>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 xml:space="preserve">Свободный денежный остаток, </w:t>
            </w:r>
            <w:proofErr w:type="spellStart"/>
            <w:r w:rsidRPr="009B6B18">
              <w:rPr>
                <w:rFonts w:ascii="Times New Roman" w:eastAsia="Times New Roman" w:hAnsi="Times New Roman" w:cs="Times New Roman"/>
                <w:sz w:val="24"/>
                <w:szCs w:val="24"/>
                <w:lang w:eastAsia="ru-RU"/>
              </w:rPr>
              <w:t>тыс.руб</w:t>
            </w:r>
            <w:proofErr w:type="spellEnd"/>
            <w:r w:rsidRPr="009B6B18">
              <w:rPr>
                <w:rFonts w:ascii="Times New Roman" w:eastAsia="Times New Roman" w:hAnsi="Times New Roman" w:cs="Times New Roman"/>
                <w:sz w:val="24"/>
                <w:szCs w:val="24"/>
                <w:lang w:eastAsia="ru-RU"/>
              </w:rPr>
              <w:t>.</w:t>
            </w:r>
          </w:p>
          <w:p w:rsidR="00DA5855" w:rsidRPr="009B6B18" w:rsidRDefault="00DA5855" w:rsidP="00954B26">
            <w:pPr>
              <w:jc w:val="center"/>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(сальдо)</w:t>
            </w:r>
          </w:p>
        </w:tc>
      </w:tr>
      <w:tr w:rsidR="00DA5855" w:rsidRPr="009B6B18" w:rsidTr="00954B26">
        <w:trPr>
          <w:jc w:val="center"/>
        </w:trPr>
        <w:tc>
          <w:tcPr>
            <w:tcW w:w="191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1</w:t>
            </w:r>
          </w:p>
        </w:tc>
        <w:tc>
          <w:tcPr>
            <w:tcW w:w="2337"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1914"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276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r>
      <w:tr w:rsidR="00DA5855" w:rsidRPr="009B6B18" w:rsidTr="00954B26">
        <w:trPr>
          <w:jc w:val="center"/>
        </w:trPr>
        <w:tc>
          <w:tcPr>
            <w:tcW w:w="191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2</w:t>
            </w:r>
          </w:p>
        </w:tc>
        <w:tc>
          <w:tcPr>
            <w:tcW w:w="2337"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1914"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276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r>
      <w:tr w:rsidR="00DA5855" w:rsidRPr="009B6B18" w:rsidTr="00954B26">
        <w:trPr>
          <w:jc w:val="center"/>
        </w:trPr>
        <w:tc>
          <w:tcPr>
            <w:tcW w:w="191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w:t>
            </w:r>
          </w:p>
        </w:tc>
        <w:tc>
          <w:tcPr>
            <w:tcW w:w="2337"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1914"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c>
          <w:tcPr>
            <w:tcW w:w="2765" w:type="dxa"/>
          </w:tcPr>
          <w:p w:rsidR="00DA5855" w:rsidRPr="009B6B18" w:rsidRDefault="00DA5855" w:rsidP="00954B26">
            <w:pPr>
              <w:spacing w:line="216" w:lineRule="auto"/>
              <w:outlineLvl w:val="2"/>
              <w:rPr>
                <w:rFonts w:ascii="Times New Roman" w:eastAsia="Times New Roman" w:hAnsi="Times New Roman" w:cs="Times New Roman"/>
                <w:sz w:val="24"/>
                <w:szCs w:val="24"/>
                <w:lang w:eastAsia="ru-RU"/>
              </w:rPr>
            </w:pPr>
          </w:p>
        </w:tc>
      </w:tr>
    </w:tbl>
    <w:p w:rsidR="00DA5855" w:rsidRPr="009B6B18" w:rsidRDefault="00DA5855" w:rsidP="00DA5855">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 xml:space="preserve">Положительное сальдо денежного остатка, т.е. превышение поступлений над выбытием способствует стабильности расчетов, говорит о соблюдении принципа финансового соотношения сроков между ДЗ и КЗ.  </w:t>
      </w:r>
    </w:p>
    <w:p w:rsidR="00DA5855" w:rsidRPr="009B6B18" w:rsidRDefault="00DA5855" w:rsidP="00DA5855">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В отличии от коэффициентов оборачиваемости ДЗ оборачиваемость кредиторской задолженности может быть определена следующим образом:</w:t>
      </w:r>
    </w:p>
    <w:p w:rsidR="00DA5855" w:rsidRPr="009B6B18" w:rsidRDefault="00DA5855" w:rsidP="00DA5855">
      <w:pPr>
        <w:pStyle w:val="a4"/>
        <w:spacing w:before="0" w:beforeAutospacing="0" w:after="0" w:afterAutospacing="0"/>
      </w:pPr>
      <w:r w:rsidRPr="009B6B18">
        <w:t>1.Оборачиваемость КЗ (в оборотах) = Затраты по основной деятельности / Средний остаток КЗ по балансу</w:t>
      </w:r>
    </w:p>
    <w:p w:rsidR="00DA5855" w:rsidRPr="009B6B18" w:rsidRDefault="00DA5855" w:rsidP="00DA5855">
      <w:pPr>
        <w:spacing w:after="0" w:line="240" w:lineRule="auto"/>
        <w:rPr>
          <w:rFonts w:ascii="Times New Roman" w:eastAsia="Times New Roman" w:hAnsi="Times New Roman" w:cs="Times New Roman"/>
          <w:sz w:val="24"/>
          <w:szCs w:val="24"/>
          <w:lang w:eastAsia="ru-RU"/>
        </w:rPr>
      </w:pPr>
      <w:r w:rsidRPr="009B6B18">
        <w:rPr>
          <w:rFonts w:ascii="Times New Roman" w:hAnsi="Times New Roman" w:cs="Times New Roman"/>
          <w:sz w:val="24"/>
          <w:szCs w:val="24"/>
        </w:rPr>
        <w:t xml:space="preserve">2. </w:t>
      </w:r>
      <w:r w:rsidRPr="009B6B18">
        <w:rPr>
          <w:rFonts w:ascii="Times New Roman" w:eastAsia="Times New Roman" w:hAnsi="Times New Roman" w:cs="Times New Roman"/>
          <w:sz w:val="24"/>
          <w:szCs w:val="24"/>
          <w:lang w:eastAsia="ru-RU"/>
        </w:rPr>
        <w:t>Оборачиваемость КЗ (в днях) = 365 (180, 90) / К-т оборачиваемости КЗ в оборотах</w:t>
      </w:r>
    </w:p>
    <w:p w:rsidR="00DA5855" w:rsidRPr="009B6B18" w:rsidRDefault="00DA5855" w:rsidP="00DA5855">
      <w:pPr>
        <w:spacing w:after="0" w:line="240" w:lineRule="auto"/>
        <w:rPr>
          <w:rFonts w:ascii="Times New Roman" w:eastAsia="Times New Roman" w:hAnsi="Times New Roman" w:cs="Times New Roman"/>
          <w:sz w:val="24"/>
          <w:szCs w:val="24"/>
          <w:lang w:eastAsia="ru-RU"/>
        </w:rPr>
      </w:pPr>
    </w:p>
    <w:p w:rsidR="00DA5855" w:rsidRPr="009B6B18" w:rsidRDefault="00DA5855" w:rsidP="00DA5855">
      <w:pPr>
        <w:spacing w:after="0" w:line="240" w:lineRule="auto"/>
        <w:jc w:val="both"/>
        <w:outlineLvl w:val="2"/>
        <w:rPr>
          <w:rFonts w:ascii="Times New Roman" w:hAnsi="Times New Roman" w:cs="Times New Roman"/>
          <w:sz w:val="24"/>
          <w:szCs w:val="24"/>
        </w:rPr>
      </w:pPr>
      <w:r w:rsidRPr="009B6B18">
        <w:rPr>
          <w:rFonts w:ascii="Times New Roman" w:eastAsia="Times New Roman" w:hAnsi="Times New Roman" w:cs="Times New Roman"/>
          <w:b/>
          <w:sz w:val="24"/>
          <w:szCs w:val="24"/>
          <w:lang w:eastAsia="ru-RU"/>
        </w:rPr>
        <w:t xml:space="preserve">Пояснения к задаче 3. </w:t>
      </w:r>
      <w:r w:rsidRPr="009B6B18">
        <w:rPr>
          <w:rFonts w:ascii="Times New Roman" w:hAnsi="Times New Roman" w:cs="Times New Roman"/>
          <w:b/>
          <w:bCs/>
          <w:sz w:val="24"/>
          <w:szCs w:val="24"/>
        </w:rPr>
        <w:t>Оборачиваемость активов</w:t>
      </w:r>
      <w:r w:rsidRPr="009B6B18">
        <w:rPr>
          <w:rFonts w:ascii="Times New Roman" w:hAnsi="Times New Roman" w:cs="Times New Roman"/>
          <w:sz w:val="24"/>
          <w:szCs w:val="24"/>
        </w:rPr>
        <w:t xml:space="preserve"> – финансовый показатель интенсивности использования организацией всей совокупности имеющихся активов. Данный показатель используется наряду с другими показателями оборачиваемости, такими как оборачиваемость дебиторской задолженности, оборачиваемость кредиторской задолженности, оборачиваемость запасов, для анализа эффективности управления имуществом и обязательствами фирмы.</w:t>
      </w:r>
    </w:p>
    <w:p w:rsidR="00DA5855" w:rsidRPr="009B6B18" w:rsidRDefault="00DA5855" w:rsidP="00DA5855">
      <w:pPr>
        <w:pStyle w:val="a4"/>
        <w:spacing w:before="0" w:beforeAutospacing="0" w:after="0" w:afterAutospacing="0"/>
        <w:jc w:val="both"/>
      </w:pPr>
      <w:r w:rsidRPr="009B6B18">
        <w:t>Оборачиваемость активов (в оборотах) = Выручка / Среднегодовая стоимость активов</w:t>
      </w:r>
    </w:p>
    <w:p w:rsidR="00DA5855" w:rsidRPr="009B6B18" w:rsidRDefault="00DA5855" w:rsidP="00DA5855">
      <w:pPr>
        <w:pStyle w:val="a4"/>
        <w:spacing w:before="0" w:beforeAutospacing="0" w:after="0" w:afterAutospacing="0"/>
        <w:jc w:val="both"/>
      </w:pPr>
      <w:r w:rsidRPr="009B6B18">
        <w:t>или</w:t>
      </w:r>
    </w:p>
    <w:p w:rsidR="00DA5855" w:rsidRPr="009B6B18" w:rsidRDefault="00DA5855" w:rsidP="00DA5855">
      <w:pPr>
        <w:pStyle w:val="a4"/>
        <w:spacing w:before="0" w:beforeAutospacing="0" w:after="0" w:afterAutospacing="0"/>
        <w:jc w:val="both"/>
      </w:pPr>
      <w:r w:rsidRPr="009B6B18">
        <w:t>Оборачиваемость активов (в днях) = 365 / К-т оборачиваемости активов в оборотах</w:t>
      </w:r>
    </w:p>
    <w:p w:rsidR="00DA5855" w:rsidRPr="009B6B18" w:rsidRDefault="00DA5855" w:rsidP="00DA5855">
      <w:pPr>
        <w:pStyle w:val="a4"/>
        <w:spacing w:before="0" w:beforeAutospacing="0" w:after="0" w:afterAutospacing="0"/>
        <w:jc w:val="both"/>
      </w:pPr>
    </w:p>
    <w:p w:rsidR="00DA5855" w:rsidRPr="009B6B18" w:rsidRDefault="00DA5855" w:rsidP="00DA5855">
      <w:pPr>
        <w:pStyle w:val="a4"/>
        <w:spacing w:before="0" w:beforeAutospacing="0" w:after="0" w:afterAutospacing="0"/>
        <w:jc w:val="both"/>
      </w:pPr>
      <w:r w:rsidRPr="009B6B18">
        <w:t>Данные о выручки можно получить из «Отчета о прибылях и убытках», данные о величине активов – из Баланса (сальдо баланса). Для расчета среднегодовой величины активов находят их сумму на начало и конец года и делят на 2.</w:t>
      </w:r>
    </w:p>
    <w:p w:rsidR="00DA5855" w:rsidRPr="009B6B18" w:rsidRDefault="00DA5855" w:rsidP="00DA5855">
      <w:pPr>
        <w:pStyle w:val="a4"/>
        <w:spacing w:before="0" w:beforeAutospacing="0" w:after="0" w:afterAutospacing="0"/>
        <w:jc w:val="both"/>
      </w:pPr>
      <w:r w:rsidRPr="009B6B18">
        <w:t xml:space="preserve">Определенного норматива для показателей оборачиваемости не существует, поскольку они зависят от отраслевых особенностей организации производства. В капиталоемких отраслях оборачиваемость активов будет ниже, чем в торговле или сфере услуг. Желательна более высокая оборачиваемость активов. Низкая оборачиваемость может свидетельствовать о недостаточной эффективности использования активов. </w:t>
      </w:r>
    </w:p>
    <w:p w:rsidR="00DA5855" w:rsidRPr="009B6B18" w:rsidRDefault="00DA5855" w:rsidP="00DA5855">
      <w:pPr>
        <w:pStyle w:val="a4"/>
        <w:spacing w:before="0" w:beforeAutospacing="0" w:after="0" w:afterAutospacing="0"/>
        <w:jc w:val="both"/>
      </w:pPr>
    </w:p>
    <w:p w:rsidR="00DA5855" w:rsidRPr="009B6B18" w:rsidRDefault="00DA5855" w:rsidP="00DA5855">
      <w:pPr>
        <w:pStyle w:val="a4"/>
        <w:spacing w:before="0" w:beforeAutospacing="0" w:after="0" w:afterAutospacing="0"/>
        <w:jc w:val="both"/>
        <w:rPr>
          <w:bCs/>
        </w:rPr>
      </w:pPr>
      <w:r w:rsidRPr="009B6B18">
        <w:rPr>
          <w:b/>
        </w:rPr>
        <w:t xml:space="preserve">Пояснения к задаче 4. </w:t>
      </w:r>
      <w:r w:rsidRPr="009B6B18">
        <w:t xml:space="preserve">Оценка облигации с купоном с постоянным уровнем выплат. Когда купонные платежи процентов фиксированы, оценщик имеет дело с процентным обязательством и постоянные процентные платежи он может рассматривать как аннуитет. </w:t>
      </w:r>
      <w:r w:rsidRPr="009B6B18">
        <w:rPr>
          <w:bCs/>
        </w:rPr>
        <w:t>Текущая стоимость облигации в этом случае состоит из двух частей:</w:t>
      </w:r>
    </w:p>
    <w:p w:rsidR="00DA5855" w:rsidRPr="009B6B18" w:rsidRDefault="00DA5855" w:rsidP="00DA5855">
      <w:pPr>
        <w:pStyle w:val="a4"/>
        <w:spacing w:before="0" w:beforeAutospacing="0" w:after="0" w:afterAutospacing="0"/>
        <w:jc w:val="both"/>
      </w:pPr>
      <w:r w:rsidRPr="009B6B18">
        <w:t>1. Текущей дисконтированной стоимости полученных до даты погашения процентных платежей.</w:t>
      </w:r>
      <w:r w:rsidRPr="009B6B18">
        <w:br/>
        <w:t>2. Текущей дисконтированной стоимости выплаты номинала при наступлении срока погашения облигации.</w:t>
      </w:r>
      <w:bookmarkStart w:id="1" w:name="for_z1"/>
      <w:bookmarkEnd w:id="1"/>
      <w:r w:rsidRPr="009B6B18">
        <w:br/>
      </w:r>
      <w:r w:rsidRPr="009B6B18">
        <w:rPr>
          <w:bCs/>
        </w:rPr>
        <w:t>Формула определения текущей стоимости облигации имеет следующий вид:</w:t>
      </w:r>
    </w:p>
    <w:p w:rsidR="00DA5855" w:rsidRPr="009B6B18" w:rsidRDefault="00DA5855" w:rsidP="00DA5855">
      <w:pPr>
        <w:spacing w:before="100" w:beforeAutospacing="1" w:after="100" w:afterAutospacing="1" w:line="240" w:lineRule="auto"/>
        <w:rPr>
          <w:rFonts w:ascii="Times New Roman" w:eastAsia="Times New Roman" w:hAnsi="Times New Roman" w:cs="Times New Roman"/>
          <w:sz w:val="24"/>
          <w:szCs w:val="24"/>
          <w:lang w:eastAsia="ru-RU"/>
        </w:rPr>
      </w:pPr>
      <w:r w:rsidRPr="009B6B18">
        <w:rPr>
          <w:rFonts w:ascii="Times New Roman" w:eastAsia="Times New Roman" w:hAnsi="Times New Roman" w:cs="Times New Roman"/>
          <w:noProof/>
          <w:sz w:val="24"/>
          <w:szCs w:val="24"/>
          <w:lang w:eastAsia="ru-RU"/>
        </w:rPr>
        <w:lastRenderedPageBreak/>
        <w:drawing>
          <wp:inline distT="0" distB="0" distL="0" distR="0" wp14:anchorId="02756D94" wp14:editId="6DF97EF6">
            <wp:extent cx="4473437" cy="461176"/>
            <wp:effectExtent l="19050" t="0" r="3313" b="0"/>
            <wp:docPr id="16" name="Рисунок 16" descr="http://ozenka-biznesa.narod.ru/Images/f7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zenka-biznesa.narod.ru/Images/f74_1.gif"/>
                    <pic:cNvPicPr>
                      <a:picLocks noChangeAspect="1" noChangeArrowheads="1"/>
                    </pic:cNvPicPr>
                  </pic:nvPicPr>
                  <pic:blipFill>
                    <a:blip r:embed="rId11" cstate="print"/>
                    <a:srcRect/>
                    <a:stretch>
                      <a:fillRect/>
                    </a:stretch>
                  </pic:blipFill>
                  <pic:spPr bwMode="auto">
                    <a:xfrm>
                      <a:off x="0" y="0"/>
                      <a:ext cx="4476750" cy="461518"/>
                    </a:xfrm>
                    <a:prstGeom prst="rect">
                      <a:avLst/>
                    </a:prstGeom>
                    <a:noFill/>
                    <a:ln w="9525">
                      <a:noFill/>
                      <a:miter lim="800000"/>
                      <a:headEnd/>
                      <a:tailEnd/>
                    </a:ln>
                  </pic:spPr>
                </pic:pic>
              </a:graphicData>
            </a:graphic>
          </wp:inline>
        </w:drawing>
      </w:r>
      <w:r w:rsidRPr="009B6B18">
        <w:rPr>
          <w:rFonts w:ascii="Times New Roman" w:eastAsia="Times New Roman" w:hAnsi="Times New Roman" w:cs="Times New Roman"/>
          <w:sz w:val="24"/>
          <w:szCs w:val="24"/>
          <w:lang w:eastAsia="ru-RU"/>
        </w:rPr>
        <w:t xml:space="preserve">, </w:t>
      </w:r>
    </w:p>
    <w:p w:rsidR="00DA5855" w:rsidRPr="009B6B18" w:rsidRDefault="00DA5855" w:rsidP="00DA5855">
      <w:pPr>
        <w:spacing w:before="100" w:beforeAutospacing="1" w:after="100" w:afterAutospacing="1" w:line="240" w:lineRule="auto"/>
        <w:rPr>
          <w:rFonts w:ascii="Times New Roman" w:eastAsia="Times New Roman" w:hAnsi="Times New Roman" w:cs="Times New Roman"/>
          <w:sz w:val="24"/>
          <w:szCs w:val="24"/>
          <w:lang w:eastAsia="ru-RU"/>
        </w:rPr>
      </w:pPr>
      <w:r w:rsidRPr="009B6B18">
        <w:rPr>
          <w:rFonts w:ascii="Times New Roman" w:eastAsia="Times New Roman" w:hAnsi="Times New Roman" w:cs="Times New Roman"/>
          <w:sz w:val="24"/>
          <w:szCs w:val="24"/>
          <w:lang w:eastAsia="ru-RU"/>
        </w:rPr>
        <w:t xml:space="preserve">где, </w:t>
      </w:r>
      <w:r w:rsidRPr="009B6B18">
        <w:rPr>
          <w:rFonts w:ascii="Times New Roman" w:eastAsia="Times New Roman" w:hAnsi="Times New Roman" w:cs="Times New Roman"/>
          <w:b/>
          <w:bCs/>
          <w:sz w:val="24"/>
          <w:szCs w:val="24"/>
          <w:lang w:eastAsia="ru-RU"/>
        </w:rPr>
        <w:t xml:space="preserve">PV </w:t>
      </w:r>
      <w:proofErr w:type="spellStart"/>
      <w:r w:rsidRPr="009B6B18">
        <w:rPr>
          <w:rFonts w:ascii="Times New Roman" w:eastAsia="Times New Roman" w:hAnsi="Times New Roman" w:cs="Times New Roman"/>
          <w:sz w:val="24"/>
          <w:szCs w:val="24"/>
          <w:lang w:eastAsia="ru-RU"/>
        </w:rPr>
        <w:t>обл</w:t>
      </w:r>
      <w:proofErr w:type="spellEnd"/>
      <w:r w:rsidRPr="009B6B18">
        <w:rPr>
          <w:rFonts w:ascii="Times New Roman" w:eastAsia="Times New Roman" w:hAnsi="Times New Roman" w:cs="Times New Roman"/>
          <w:sz w:val="24"/>
          <w:szCs w:val="24"/>
          <w:lang w:eastAsia="ru-RU"/>
        </w:rPr>
        <w:t xml:space="preserve"> — текущая стоимость облигаций, </w:t>
      </w:r>
      <w:proofErr w:type="spellStart"/>
      <w:r w:rsidRPr="009B6B18">
        <w:rPr>
          <w:rFonts w:ascii="Times New Roman" w:eastAsia="Times New Roman" w:hAnsi="Times New Roman" w:cs="Times New Roman"/>
          <w:sz w:val="24"/>
          <w:szCs w:val="24"/>
          <w:lang w:eastAsia="ru-RU"/>
        </w:rPr>
        <w:t>ден</w:t>
      </w:r>
      <w:proofErr w:type="spellEnd"/>
      <w:r w:rsidRPr="009B6B18">
        <w:rPr>
          <w:rFonts w:ascii="Times New Roman" w:eastAsia="Times New Roman" w:hAnsi="Times New Roman" w:cs="Times New Roman"/>
          <w:sz w:val="24"/>
          <w:szCs w:val="24"/>
          <w:lang w:eastAsia="ru-RU"/>
        </w:rPr>
        <w:t xml:space="preserve">. </w:t>
      </w:r>
      <w:proofErr w:type="gramStart"/>
      <w:r w:rsidRPr="009B6B18">
        <w:rPr>
          <w:rFonts w:ascii="Times New Roman" w:eastAsia="Times New Roman" w:hAnsi="Times New Roman" w:cs="Times New Roman"/>
          <w:sz w:val="24"/>
          <w:szCs w:val="24"/>
          <w:lang w:eastAsia="ru-RU"/>
        </w:rPr>
        <w:t>ед.;</w:t>
      </w:r>
      <w:r w:rsidRPr="009B6B18">
        <w:rPr>
          <w:rFonts w:ascii="Times New Roman" w:eastAsia="Times New Roman" w:hAnsi="Times New Roman" w:cs="Times New Roman"/>
          <w:sz w:val="24"/>
          <w:szCs w:val="24"/>
          <w:lang w:eastAsia="ru-RU"/>
        </w:rPr>
        <w:br/>
      </w:r>
      <w:r w:rsidRPr="009B6B18">
        <w:rPr>
          <w:rFonts w:ascii="Times New Roman" w:eastAsia="Times New Roman" w:hAnsi="Times New Roman" w:cs="Times New Roman"/>
          <w:b/>
          <w:bCs/>
          <w:sz w:val="24"/>
          <w:szCs w:val="24"/>
          <w:lang w:eastAsia="ru-RU"/>
        </w:rPr>
        <w:t>Y</w:t>
      </w:r>
      <w:proofErr w:type="gramEnd"/>
      <w:r w:rsidRPr="009B6B18">
        <w:rPr>
          <w:rFonts w:ascii="Times New Roman" w:eastAsia="Times New Roman" w:hAnsi="Times New Roman" w:cs="Times New Roman"/>
          <w:sz w:val="24"/>
          <w:szCs w:val="24"/>
          <w:lang w:eastAsia="ru-RU"/>
        </w:rPr>
        <w:t xml:space="preserve"> - годовые процентные выплаты, определяющиеся номинальным процентным доходом (купонной ставкой);</w:t>
      </w:r>
      <w:r w:rsidRPr="009B6B18">
        <w:rPr>
          <w:rFonts w:ascii="Times New Roman" w:eastAsia="Times New Roman" w:hAnsi="Times New Roman" w:cs="Times New Roman"/>
          <w:sz w:val="24"/>
          <w:szCs w:val="24"/>
          <w:lang w:eastAsia="ru-RU"/>
        </w:rPr>
        <w:br/>
      </w:r>
      <w:r w:rsidRPr="009B6B18">
        <w:rPr>
          <w:rFonts w:ascii="Times New Roman" w:eastAsia="Times New Roman" w:hAnsi="Times New Roman" w:cs="Times New Roman"/>
          <w:b/>
          <w:bCs/>
          <w:sz w:val="24"/>
          <w:szCs w:val="24"/>
          <w:lang w:eastAsia="ru-RU"/>
        </w:rPr>
        <w:t>r</w:t>
      </w:r>
      <w:r w:rsidRPr="009B6B18">
        <w:rPr>
          <w:rFonts w:ascii="Times New Roman" w:eastAsia="Times New Roman" w:hAnsi="Times New Roman" w:cs="Times New Roman"/>
          <w:sz w:val="24"/>
          <w:szCs w:val="24"/>
          <w:lang w:eastAsia="ru-RU"/>
        </w:rPr>
        <w:t xml:space="preserve"> — требуемая норма доходности (или ставка альтернативных вложений), %;</w:t>
      </w:r>
      <w:r w:rsidRPr="009B6B18">
        <w:rPr>
          <w:rFonts w:ascii="Times New Roman" w:eastAsia="Times New Roman" w:hAnsi="Times New Roman" w:cs="Times New Roman"/>
          <w:sz w:val="24"/>
          <w:szCs w:val="24"/>
          <w:lang w:eastAsia="ru-RU"/>
        </w:rPr>
        <w:br/>
      </w:r>
      <w:r w:rsidRPr="009B6B18">
        <w:rPr>
          <w:rFonts w:ascii="Times New Roman" w:eastAsia="Times New Roman" w:hAnsi="Times New Roman" w:cs="Times New Roman"/>
          <w:b/>
          <w:bCs/>
          <w:sz w:val="24"/>
          <w:szCs w:val="24"/>
          <w:lang w:eastAsia="ru-RU"/>
        </w:rPr>
        <w:t>М</w:t>
      </w:r>
      <w:r w:rsidRPr="009B6B18">
        <w:rPr>
          <w:rFonts w:ascii="Times New Roman" w:eastAsia="Times New Roman" w:hAnsi="Times New Roman" w:cs="Times New Roman"/>
          <w:sz w:val="24"/>
          <w:szCs w:val="24"/>
          <w:lang w:eastAsia="ru-RU"/>
        </w:rPr>
        <w:t xml:space="preserve"> — номинальная стоимость облигации (сумма, выплачиваемая при погашении облигации), </w:t>
      </w:r>
      <w:proofErr w:type="spellStart"/>
      <w:r w:rsidRPr="009B6B18">
        <w:rPr>
          <w:rFonts w:ascii="Times New Roman" w:eastAsia="Times New Roman" w:hAnsi="Times New Roman" w:cs="Times New Roman"/>
          <w:sz w:val="24"/>
          <w:szCs w:val="24"/>
          <w:lang w:eastAsia="ru-RU"/>
        </w:rPr>
        <w:t>ден</w:t>
      </w:r>
      <w:proofErr w:type="spellEnd"/>
      <w:r w:rsidRPr="009B6B18">
        <w:rPr>
          <w:rFonts w:ascii="Times New Roman" w:eastAsia="Times New Roman" w:hAnsi="Times New Roman" w:cs="Times New Roman"/>
          <w:sz w:val="24"/>
          <w:szCs w:val="24"/>
          <w:lang w:eastAsia="ru-RU"/>
        </w:rPr>
        <w:t>. ед.;</w:t>
      </w:r>
      <w:r w:rsidRPr="009B6B18">
        <w:rPr>
          <w:rFonts w:ascii="Times New Roman" w:eastAsia="Times New Roman" w:hAnsi="Times New Roman" w:cs="Times New Roman"/>
          <w:sz w:val="24"/>
          <w:szCs w:val="24"/>
          <w:lang w:eastAsia="ru-RU"/>
        </w:rPr>
        <w:br/>
      </w:r>
      <w:r w:rsidRPr="009B6B18">
        <w:rPr>
          <w:rFonts w:ascii="Times New Roman" w:eastAsia="Times New Roman" w:hAnsi="Times New Roman" w:cs="Times New Roman"/>
          <w:b/>
          <w:bCs/>
          <w:sz w:val="24"/>
          <w:szCs w:val="24"/>
          <w:lang w:eastAsia="ru-RU"/>
        </w:rPr>
        <w:t>n</w:t>
      </w:r>
      <w:r w:rsidRPr="009B6B18">
        <w:rPr>
          <w:rFonts w:ascii="Times New Roman" w:eastAsia="Times New Roman" w:hAnsi="Times New Roman" w:cs="Times New Roman"/>
          <w:sz w:val="24"/>
          <w:szCs w:val="24"/>
          <w:lang w:eastAsia="ru-RU"/>
        </w:rPr>
        <w:t xml:space="preserve"> — число лет до момента погашения. </w:t>
      </w:r>
    </w:p>
    <w:p w:rsidR="00DA5855" w:rsidRPr="009B6B18" w:rsidRDefault="00DA5855" w:rsidP="00DA5855">
      <w:pPr>
        <w:spacing w:before="100" w:beforeAutospacing="1" w:after="100" w:afterAutospacing="1" w:line="240" w:lineRule="auto"/>
        <w:rPr>
          <w:rFonts w:ascii="Times New Roman" w:eastAsia="Times New Roman" w:hAnsi="Times New Roman" w:cs="Times New Roman"/>
          <w:sz w:val="24"/>
          <w:szCs w:val="24"/>
          <w:lang w:eastAsia="ru-RU"/>
        </w:rPr>
      </w:pPr>
    </w:p>
    <w:p w:rsidR="00DA5855" w:rsidRDefault="00DA5855" w:rsidP="00DA5855"/>
    <w:sectPr w:rsidR="00DA5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77EB2"/>
    <w:multiLevelType w:val="hybridMultilevel"/>
    <w:tmpl w:val="5ABEC1F0"/>
    <w:lvl w:ilvl="0" w:tplc="973AF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55"/>
    <w:rsid w:val="008426E5"/>
    <w:rsid w:val="00DA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5604F-DF9C-4A2F-AA09-00D8A4F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DA5855"/>
    <w:pPr>
      <w:spacing w:after="120"/>
      <w:ind w:left="283"/>
    </w:pPr>
    <w:rPr>
      <w:sz w:val="16"/>
      <w:szCs w:val="16"/>
    </w:rPr>
  </w:style>
  <w:style w:type="character" w:customStyle="1" w:styleId="30">
    <w:name w:val="Основной текст с отступом 3 Знак"/>
    <w:basedOn w:val="a0"/>
    <w:link w:val="3"/>
    <w:uiPriority w:val="99"/>
    <w:semiHidden/>
    <w:rsid w:val="00DA5855"/>
    <w:rPr>
      <w:sz w:val="16"/>
      <w:szCs w:val="16"/>
    </w:rPr>
  </w:style>
  <w:style w:type="paragraph" w:styleId="a3">
    <w:name w:val="List Paragraph"/>
    <w:basedOn w:val="a"/>
    <w:uiPriority w:val="34"/>
    <w:qFormat/>
    <w:rsid w:val="00DA5855"/>
    <w:pPr>
      <w:ind w:left="720"/>
      <w:contextualSpacing/>
    </w:pPr>
  </w:style>
  <w:style w:type="paragraph" w:styleId="a4">
    <w:name w:val="Normal (Web)"/>
    <w:basedOn w:val="a"/>
    <w:uiPriority w:val="99"/>
    <w:unhideWhenUsed/>
    <w:rsid w:val="00DA58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A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gi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7020</Characters>
  <Application>Microsoft Office Word</Application>
  <DocSecurity>0</DocSecurity>
  <Lines>58</Lines>
  <Paragraphs>16</Paragraphs>
  <ScaleCrop>false</ScaleCrop>
  <Company>diakov.net</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2017-05-12T04:34:00Z</dcterms:created>
  <dcterms:modified xsi:type="dcterms:W3CDTF">2017-05-12T04:38:00Z</dcterms:modified>
</cp:coreProperties>
</file>