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36E8"/>
    <w:p w:rsidR="00000000" w:rsidRDefault="003D36E8"/>
    <w:p w:rsidR="00000000" w:rsidRDefault="003D36E8"/>
    <w:p w:rsidR="00000000" w:rsidRDefault="003D36E8">
      <w:pPr>
        <w:ind w:left="648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УТВЕРЖДАЮ</w:t>
      </w:r>
    </w:p>
    <w:p w:rsidR="00000000" w:rsidRDefault="003D36E8">
      <w:pPr>
        <w:ind w:left="648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Зав. каф. УКС</w:t>
      </w:r>
    </w:p>
    <w:p w:rsidR="00000000" w:rsidRDefault="003D36E8">
      <w:pPr>
        <w:ind w:left="648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В. А. Фатькин ________</w:t>
      </w:r>
    </w:p>
    <w:p w:rsidR="00000000" w:rsidRDefault="003D36E8">
      <w:pPr>
        <w:tabs>
          <w:tab w:val="left" w:pos="8505"/>
          <w:tab w:val="left" w:pos="9495"/>
        </w:tabs>
        <w:ind w:left="648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«___»__________200__г.</w:t>
      </w:r>
    </w:p>
    <w:p w:rsidR="00000000" w:rsidRDefault="003D36E8"/>
    <w:p w:rsidR="00000000" w:rsidRDefault="003D36E8"/>
    <w:p w:rsidR="00000000" w:rsidRDefault="003D36E8"/>
    <w:p w:rsidR="00000000" w:rsidRDefault="003D36E8"/>
    <w:p w:rsidR="00000000" w:rsidRDefault="003D36E8"/>
    <w:p w:rsidR="00000000" w:rsidRDefault="003D36E8"/>
    <w:p w:rsidR="00000000" w:rsidRDefault="003D36E8"/>
    <w:p w:rsidR="00000000" w:rsidRDefault="003D36E8"/>
    <w:p w:rsidR="00000000" w:rsidRDefault="003D36E8"/>
    <w:p w:rsidR="00000000" w:rsidRDefault="003D36E8"/>
    <w:p w:rsidR="00000000" w:rsidRDefault="003D36E8"/>
    <w:p w:rsidR="00000000" w:rsidRDefault="003D36E8">
      <w:pPr>
        <w:tabs>
          <w:tab w:val="left" w:pos="1940"/>
        </w:tabs>
        <w:jc w:val="center"/>
        <w:rPr>
          <w:rFonts w:ascii="Times New Roman" w:hAnsi="Times New Roman"/>
          <w:color w:val="auto"/>
          <w:sz w:val="44"/>
          <w:szCs w:val="44"/>
        </w:rPr>
      </w:pPr>
      <w:r>
        <w:rPr>
          <w:rFonts w:ascii="Times New Roman" w:hAnsi="Times New Roman"/>
          <w:color w:val="auto"/>
          <w:sz w:val="44"/>
          <w:szCs w:val="44"/>
        </w:rPr>
        <w:t>Лабораторная работа</w:t>
      </w:r>
    </w:p>
    <w:p w:rsidR="00000000" w:rsidRDefault="003D36E8">
      <w:pPr>
        <w:rPr>
          <w:rFonts w:ascii="Times New Roman" w:hAnsi="Times New Roman"/>
          <w:sz w:val="44"/>
          <w:szCs w:val="44"/>
        </w:rPr>
      </w:pPr>
    </w:p>
    <w:p w:rsidR="00000000" w:rsidRDefault="003D36E8">
      <w:pPr>
        <w:jc w:val="center"/>
        <w:rPr>
          <w:rFonts w:ascii="Times New Roman" w:hAnsi="Times New Roman"/>
          <w:b/>
          <w:color w:val="auto"/>
          <w:sz w:val="44"/>
          <w:szCs w:val="44"/>
        </w:rPr>
      </w:pPr>
      <w:r>
        <w:rPr>
          <w:rFonts w:ascii="Times New Roman" w:hAnsi="Times New Roman"/>
          <w:b/>
          <w:color w:val="auto"/>
          <w:sz w:val="44"/>
          <w:szCs w:val="44"/>
        </w:rPr>
        <w:t>ДОПУСКИ  И  ПОСАДКИ</w:t>
      </w:r>
    </w:p>
    <w:p w:rsidR="00000000" w:rsidRDefault="003D36E8">
      <w:pPr>
        <w:numPr>
          <w:ilvl w:val="0"/>
          <w:numId w:val="1"/>
        </w:numPr>
        <w:tabs>
          <w:tab w:val="clear" w:pos="720"/>
        </w:tabs>
        <w:ind w:left="-540" w:firstLine="90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44"/>
          <w:szCs w:val="44"/>
        </w:rPr>
        <w:br w:type="page"/>
      </w: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ЦЕЛЬ РАБОТЫ</w:t>
      </w:r>
    </w:p>
    <w:p w:rsidR="00000000" w:rsidRDefault="003D36E8">
      <w:pPr>
        <w:numPr>
          <w:ilvl w:val="1"/>
          <w:numId w:val="1"/>
        </w:numPr>
        <w:tabs>
          <w:tab w:val="clear" w:pos="795"/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Ознакомление с основными понятиями и терминологией единой системы допусков и посадок (ЕСДП): ГОСТ 25346-82, ГОСТ 25347</w:t>
      </w:r>
      <w:r>
        <w:rPr>
          <w:rFonts w:ascii="Times New Roman" w:hAnsi="Times New Roman"/>
          <w:color w:val="auto"/>
          <w:sz w:val="24"/>
          <w:szCs w:val="24"/>
        </w:rPr>
        <w:t>-82.</w:t>
      </w:r>
    </w:p>
    <w:p w:rsidR="00000000" w:rsidRDefault="003D36E8">
      <w:pPr>
        <w:numPr>
          <w:ilvl w:val="1"/>
          <w:numId w:val="1"/>
        </w:numPr>
        <w:tabs>
          <w:tab w:val="clear" w:pos="795"/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Приобретение практических навыков пользования таблицами ГОСТ допусков и посадок, определения предельных размеров и расчета допусков по известному номинальному размеру, степени точности и посадке; построение схем расположения полей допусков отверстия и</w:t>
      </w:r>
      <w:r>
        <w:rPr>
          <w:rFonts w:ascii="Times New Roman" w:hAnsi="Times New Roman"/>
          <w:color w:val="auto"/>
          <w:sz w:val="24"/>
          <w:szCs w:val="24"/>
        </w:rPr>
        <w:t xml:space="preserve"> вала.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numPr>
          <w:ilvl w:val="0"/>
          <w:numId w:val="1"/>
        </w:numPr>
        <w:tabs>
          <w:tab w:val="clear" w:pos="720"/>
        </w:tabs>
        <w:ind w:left="-540" w:firstLine="90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ОСНОВНЫЕ ПОНЯТИЯ И ОПРЕДЕЛЕНИЯ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Качественные показатели современных изделий приборо- и машиностроения в значительной мере зависят от правильности выбора допусков и посадок. Допуски и посадки указываются на чертежах, технологических картах и другой т</w:t>
      </w:r>
      <w:r>
        <w:rPr>
          <w:rFonts w:ascii="Times New Roman" w:hAnsi="Times New Roman"/>
          <w:color w:val="auto"/>
          <w:sz w:val="24"/>
          <w:szCs w:val="24"/>
        </w:rPr>
        <w:t>ехнической документации. На основе принятых допусков и посадок разрабатываются технологические процессы изготовления деталей и контроля их размеров, а также сборки изделий. Принятая система допусков и посадок имеет решающее значение в обеспечении взаимозам</w:t>
      </w:r>
      <w:r>
        <w:rPr>
          <w:rFonts w:ascii="Times New Roman" w:hAnsi="Times New Roman"/>
          <w:color w:val="auto"/>
          <w:sz w:val="24"/>
          <w:szCs w:val="24"/>
        </w:rPr>
        <w:t>еняемости деталей и сборочных единиц.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Применение допусков и посадок регламентируется двумя видами стандартов: «Единой системой допусков и посадок» и «Основными нормами взаимозаменяемости». Рассмотрим некоторые термины, определения и обозначения, содержащие</w:t>
      </w:r>
      <w:r>
        <w:rPr>
          <w:rFonts w:ascii="Times New Roman" w:hAnsi="Times New Roman"/>
          <w:color w:val="auto"/>
          <w:sz w:val="24"/>
          <w:szCs w:val="24"/>
        </w:rPr>
        <w:t>ся в этих стандартах.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Две детали, элементы которых входят друг в друга, образуют соединение. Такие детали называются сопрягаемыми деталями, а поверхности соединяемых элементов – сопрягаемыми поверхностями. Поверхности тех элементов деталей, которые не вход</w:t>
      </w:r>
      <w:r>
        <w:rPr>
          <w:rFonts w:ascii="Times New Roman" w:hAnsi="Times New Roman"/>
          <w:color w:val="auto"/>
          <w:sz w:val="24"/>
          <w:szCs w:val="24"/>
        </w:rPr>
        <w:t>ят в соединение, - несопрягаемыми поверхностями.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Вал – термин, применяемый для обозначения охватываемых (наружных) элементов деталей.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Отверстие – термин, применяемый для обозначения охватывающих (внутренних) элементов деталей.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Термины «вал» и «отверстие» о</w:t>
      </w:r>
      <w:r>
        <w:rPr>
          <w:rFonts w:ascii="Times New Roman" w:hAnsi="Times New Roman"/>
          <w:color w:val="auto"/>
          <w:sz w:val="24"/>
          <w:szCs w:val="24"/>
        </w:rPr>
        <w:t>тносятся не только к цилиндрическим деталям, но и к элементам другой формы, например прямоугольная лицевая панель прибора – вал; печатная плата – вал. Эти термины применяются и к несопрягаемым элементам.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Размеры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Количественно геометрические параметры дета</w:t>
      </w:r>
      <w:r>
        <w:rPr>
          <w:rFonts w:ascii="Times New Roman" w:hAnsi="Times New Roman"/>
          <w:color w:val="auto"/>
          <w:sz w:val="24"/>
          <w:szCs w:val="24"/>
        </w:rPr>
        <w:t>лей оценивают посредством размеров.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Номинальный размер – это окончательно принятый в процессе проектирования проставляемый на чертеже размер детали или соединения (рис.1).Номинальный размер  получают из прочностных, кинематических и динамических расчетов и</w:t>
      </w:r>
      <w:r>
        <w:rPr>
          <w:rFonts w:ascii="Times New Roman" w:hAnsi="Times New Roman"/>
          <w:color w:val="auto"/>
          <w:sz w:val="24"/>
          <w:szCs w:val="24"/>
        </w:rPr>
        <w:t>ли выбирают из конструктивных, технологических, эстетических и других соображений. Получаемый расчетом или выбранный исходя из упомянутых соображений размер для целей унификации и стандартизации должен быть округлен до ближайшего из стандартного ряда норма</w:t>
      </w:r>
      <w:r>
        <w:rPr>
          <w:rFonts w:ascii="Times New Roman" w:hAnsi="Times New Roman"/>
          <w:color w:val="auto"/>
          <w:sz w:val="24"/>
          <w:szCs w:val="24"/>
        </w:rPr>
        <w:t xml:space="preserve">льных линейных размеров (ГОСТ 6636-69). Номинальный размер служит началом отсчета отклонений (рис.1). Обозначение номинального размера: для отверстия –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 xml:space="preserve">, вала –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Действительный размер – размер, установленный измерением детали с допустимой погрешностью.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Предельный размер – два предельно допустимых размера, между которыми должен находиться действительный размер годной детали. Наибольшие предельные размеры обозначают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 xml:space="preserve"> для отверстия и вала соответственно; наименьшие –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Отклонения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Отклон</w:t>
      </w:r>
      <w:r>
        <w:rPr>
          <w:rFonts w:ascii="Times New Roman" w:hAnsi="Times New Roman"/>
          <w:color w:val="auto"/>
          <w:sz w:val="24"/>
          <w:szCs w:val="24"/>
        </w:rPr>
        <w:t>ения размера – алгебраическая разность между наибольшим или наименьшим предельными и номинальными размерами.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Верхнее отклонение – алгебраическая разность между наибольшим предельным и номинальным размерами:</w:t>
      </w:r>
    </w:p>
    <w:p w:rsidR="00000000" w:rsidRDefault="003D36E8">
      <w:pPr>
        <w:tabs>
          <w:tab w:val="num" w:pos="360"/>
        </w:tabs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для отверстия         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ES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>;</w:t>
      </w:r>
    </w:p>
    <w:p w:rsidR="00000000" w:rsidRDefault="003D36E8">
      <w:pPr>
        <w:tabs>
          <w:tab w:val="num" w:pos="360"/>
          <w:tab w:val="left" w:pos="2580"/>
        </w:tabs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для вала       </w:t>
      </w:r>
      <w:r>
        <w:rPr>
          <w:rFonts w:ascii="Times New Roman" w:hAnsi="Times New Roman"/>
          <w:color w:val="auto"/>
          <w:sz w:val="24"/>
          <w:szCs w:val="24"/>
        </w:rPr>
        <w:t xml:space="preserve">            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es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  <w:tab w:val="left" w:pos="258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>Нижнее отклонение – алгебраическая разность между наименьшим предельным и номинальным размерами:</w:t>
      </w:r>
    </w:p>
    <w:p w:rsidR="00000000" w:rsidRDefault="003D36E8">
      <w:pPr>
        <w:tabs>
          <w:tab w:val="num" w:pos="360"/>
          <w:tab w:val="left" w:pos="2580"/>
        </w:tabs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для отверстия        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>;</w:t>
      </w:r>
    </w:p>
    <w:p w:rsidR="00000000" w:rsidRDefault="003D36E8">
      <w:pPr>
        <w:tabs>
          <w:tab w:val="num" w:pos="360"/>
          <w:tab w:val="left" w:pos="2580"/>
        </w:tabs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для вала                  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  <w:tab w:val="left" w:pos="258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Отклонения и допуски изображаются утрированно (рис.1), так как п</w:t>
      </w:r>
      <w:r>
        <w:rPr>
          <w:rFonts w:ascii="Times New Roman" w:hAnsi="Times New Roman"/>
          <w:color w:val="auto"/>
          <w:sz w:val="24"/>
          <w:szCs w:val="24"/>
        </w:rPr>
        <w:t>ри обычных масштабах трудно показать зрительно различимые отклонения и допуски.</w:t>
      </w:r>
    </w:p>
    <w:p w:rsidR="00000000" w:rsidRDefault="003D36E8">
      <w:pPr>
        <w:tabs>
          <w:tab w:val="num" w:pos="360"/>
          <w:tab w:val="left" w:pos="2580"/>
        </w:tabs>
        <w:ind w:left="-540" w:firstLine="90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tabs>
          <w:tab w:val="num" w:pos="360"/>
          <w:tab w:val="left" w:pos="2580"/>
        </w:tabs>
        <w:ind w:left="-540" w:firstLine="900"/>
        <w:jc w:val="both"/>
      </w:pPr>
      <w:r>
        <w:object w:dxaOrig="5512" w:dyaOrig="3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25pt;height:165pt" o:ole="">
            <v:imagedata r:id="rId5" o:title=""/>
          </v:shape>
          <o:OLEObject Type="Embed" ProgID="Visio.Drawing.6" ShapeID="_x0000_i1025" DrawAspect="Content" ObjectID="_1553111814" r:id="rId6"/>
        </w:object>
      </w:r>
    </w:p>
    <w:p w:rsidR="00000000" w:rsidRDefault="003D36E8">
      <w:pPr>
        <w:tabs>
          <w:tab w:val="num" w:pos="360"/>
          <w:tab w:val="left" w:pos="2580"/>
        </w:tabs>
        <w:ind w:left="-540" w:firstLine="900"/>
        <w:jc w:val="both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>Рис.1. Предельные размеры и отклонения деталей..</w:t>
      </w:r>
    </w:p>
    <w:p w:rsidR="00000000" w:rsidRDefault="003D36E8">
      <w:pPr>
        <w:tabs>
          <w:tab w:val="num" w:pos="360"/>
          <w:tab w:val="left" w:pos="2580"/>
        </w:tabs>
        <w:ind w:left="-540" w:firstLine="900"/>
        <w:jc w:val="both"/>
        <w:rPr>
          <w:rFonts w:ascii="Times New Roman" w:hAnsi="Times New Roman"/>
          <w:i/>
          <w:color w:val="auto"/>
          <w:sz w:val="24"/>
          <w:szCs w:val="24"/>
        </w:rPr>
      </w:pPr>
    </w:p>
    <w:p w:rsidR="00000000" w:rsidRDefault="003D36E8">
      <w:pPr>
        <w:tabs>
          <w:tab w:val="num" w:pos="360"/>
          <w:tab w:val="left" w:pos="258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Допуски размеров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  <w:tab w:val="left" w:pos="258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Допуск – алгебраическая разность между наибольшим и наименьшим предельными раз</w:t>
      </w:r>
      <w:r>
        <w:rPr>
          <w:rFonts w:ascii="Times New Roman" w:hAnsi="Times New Roman"/>
          <w:color w:val="auto"/>
          <w:sz w:val="24"/>
          <w:szCs w:val="24"/>
        </w:rPr>
        <w:t xml:space="preserve">мерами или разность между верхним и нижним отклонениями. По ГОСТу допуск размера обозначают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 xml:space="preserve"> (аббревиатура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International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Tolerance</w:t>
      </w:r>
      <w:r>
        <w:rPr>
          <w:rFonts w:ascii="Times New Roman" w:hAnsi="Times New Roman"/>
          <w:color w:val="auto"/>
          <w:sz w:val="24"/>
          <w:szCs w:val="24"/>
        </w:rPr>
        <w:t xml:space="preserve">), допуск формы и расположения поверхностей обозначают Т. </w:t>
      </w:r>
    </w:p>
    <w:p w:rsidR="00000000" w:rsidRDefault="003D36E8">
      <w:pPr>
        <w:tabs>
          <w:tab w:val="num" w:pos="360"/>
          <w:tab w:val="left" w:pos="300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допуск отверстия </w:t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A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ES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;</w:t>
      </w:r>
    </w:p>
    <w:p w:rsidR="00000000" w:rsidRDefault="003D36E8">
      <w:pPr>
        <w:tabs>
          <w:tab w:val="num" w:pos="360"/>
          <w:tab w:val="left" w:pos="300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допуск вала</w:t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B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es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Допуск характеризует точность изготовления детали. Величину допуска устанавливают в зависимости от номинального размера и степени точности.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Квалитеты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Абсолютное значение допуска данного номинального размера устанавливается выбранным по ГОСТ квалите</w:t>
      </w:r>
      <w:r>
        <w:rPr>
          <w:rFonts w:ascii="Times New Roman" w:hAnsi="Times New Roman"/>
          <w:color w:val="auto"/>
          <w:sz w:val="24"/>
          <w:szCs w:val="24"/>
        </w:rPr>
        <w:t>том.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Квалитет (степень точности) – совокупность допусков, соответствующих одинаковой степени точности для всех номинальных размеров.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Для размеров 1..500 мм ГОСТ устанавливает 19 квалитетов: 01; 0; 1; 2; 3; 4; 5; 6; …7; 8; …17.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Квалитеты 01; 0; 1 предусмотр</w:t>
      </w:r>
      <w:r>
        <w:rPr>
          <w:rFonts w:ascii="Times New Roman" w:hAnsi="Times New Roman"/>
          <w:color w:val="auto"/>
          <w:sz w:val="24"/>
          <w:szCs w:val="24"/>
        </w:rPr>
        <w:t>ены для оценки точности плоскопараллельных концевых мер длины. Квалитеты 2; 3; 4 – для оценки точности калибров. Наиболее распространенными являются квалитеты 7 и 8. Они предусмотрены для размеров точных ответственных соединений в приборо- и машиностроении</w:t>
      </w:r>
      <w:r>
        <w:rPr>
          <w:rFonts w:ascii="Times New Roman" w:hAnsi="Times New Roman"/>
          <w:color w:val="auto"/>
          <w:sz w:val="24"/>
          <w:szCs w:val="24"/>
        </w:rPr>
        <w:t>. Детали, получаемые литьем или штамповкой, назначают по 12-квалитету. Квалитеты 13…17 предназначены неответственных размеров деталей, не входящих в соединение, а также для межоперационных размеров. Например, размеры печатных плат, лицевых панелей назначаю</w:t>
      </w:r>
      <w:r>
        <w:rPr>
          <w:rFonts w:ascii="Times New Roman" w:hAnsi="Times New Roman"/>
          <w:color w:val="auto"/>
          <w:sz w:val="24"/>
          <w:szCs w:val="24"/>
        </w:rPr>
        <w:t>т по 12-му…14-му квалитетам.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Допуск квалитета обозначают буквами IT с цифрой порядкового номера квалитета, например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 xml:space="preserve">6,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8 и т.д.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Образование полей допусков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Поле допуска – интервал значений размеров, ограниченный двумя предельными размерами. Поле допуск</w:t>
      </w:r>
      <w:r>
        <w:rPr>
          <w:rFonts w:ascii="Times New Roman" w:hAnsi="Times New Roman"/>
          <w:color w:val="auto"/>
          <w:sz w:val="24"/>
          <w:szCs w:val="24"/>
        </w:rPr>
        <w:t>а определяется значением допуска и его положением относительно номинального размера.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Нулевая линия – линия, соответствующая номинальному размеру, от которой откладываются отклонения размеров при графическом изображении  допусков. При горизонтальном положен</w:t>
      </w:r>
      <w:r>
        <w:rPr>
          <w:rFonts w:ascii="Times New Roman" w:hAnsi="Times New Roman"/>
          <w:color w:val="auto"/>
          <w:sz w:val="24"/>
          <w:szCs w:val="24"/>
        </w:rPr>
        <w:t>ии нулевой линии положительные отклонения откладываются вверх, отрицательные – вниз.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Основное отклонение одно из двух отклонений верхнее или нижнее, расположенное ближе к нулевой линии и используемое для определения положения поля допуска относительно нуле</w:t>
      </w:r>
      <w:r>
        <w:rPr>
          <w:rFonts w:ascii="Times New Roman" w:hAnsi="Times New Roman"/>
          <w:color w:val="auto"/>
          <w:sz w:val="24"/>
          <w:szCs w:val="24"/>
        </w:rPr>
        <w:t>вой линии.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Для отверстий и валов установлено 28 основных отклонений. Они обозначаются одной или двумя буквами латинского алфавита: для отверстий – прописными буквами от А до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ZC</w:t>
      </w:r>
      <w:r>
        <w:rPr>
          <w:rFonts w:ascii="Times New Roman" w:hAnsi="Times New Roman"/>
          <w:color w:val="auto"/>
          <w:sz w:val="24"/>
          <w:szCs w:val="24"/>
        </w:rPr>
        <w:t xml:space="preserve">; для валов – строчными буквами от а до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zc</w:t>
      </w:r>
      <w:r>
        <w:rPr>
          <w:rFonts w:ascii="Times New Roman" w:hAnsi="Times New Roman"/>
          <w:color w:val="auto"/>
          <w:sz w:val="24"/>
          <w:szCs w:val="24"/>
        </w:rPr>
        <w:t xml:space="preserve">  (рис.2). Числовые значения основных </w:t>
      </w:r>
      <w:r>
        <w:rPr>
          <w:rFonts w:ascii="Times New Roman" w:hAnsi="Times New Roman"/>
          <w:color w:val="auto"/>
          <w:sz w:val="24"/>
          <w:szCs w:val="24"/>
        </w:rPr>
        <w:t xml:space="preserve">отклонений помещены в соответствующих таблицах ГОСТа. Не показанные на рис.2 основные отклонения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CD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EF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FG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ZA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ZB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cd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ef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fg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za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zb</w:t>
      </w:r>
      <w:r>
        <w:rPr>
          <w:rFonts w:ascii="Times New Roman" w:hAnsi="Times New Roman"/>
          <w:color w:val="auto"/>
          <w:sz w:val="24"/>
          <w:szCs w:val="24"/>
        </w:rPr>
        <w:t xml:space="preserve">  занимают промежуточное положение. Основные отклонения, расположенные выше нулевой линии, являются нижними предельными о</w:t>
      </w:r>
      <w:r>
        <w:rPr>
          <w:rFonts w:ascii="Times New Roman" w:hAnsi="Times New Roman"/>
          <w:color w:val="auto"/>
          <w:sz w:val="24"/>
          <w:szCs w:val="24"/>
        </w:rPr>
        <w:t xml:space="preserve">тклонениями полей допусков. Основные отклонения, расположенные ниже нулевой линии, являются верхними предельными отклонениями полей допусков. Буквами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Js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js</w:t>
      </w:r>
      <w:r>
        <w:rPr>
          <w:rFonts w:ascii="Times New Roman" w:hAnsi="Times New Roman"/>
          <w:color w:val="auto"/>
          <w:sz w:val="24"/>
          <w:szCs w:val="24"/>
        </w:rPr>
        <w:t xml:space="preserve"> обозначено симметричное расположение поля допуска относительно нулевой линии. Для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Js</w:t>
      </w:r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js</w:t>
      </w:r>
      <w:r>
        <w:rPr>
          <w:rFonts w:ascii="Times New Roman" w:hAnsi="Times New Roman"/>
          <w:color w:val="auto"/>
          <w:sz w:val="24"/>
          <w:szCs w:val="24"/>
        </w:rPr>
        <w:t xml:space="preserve"> нет основн</w:t>
      </w:r>
      <w:r>
        <w:rPr>
          <w:rFonts w:ascii="Times New Roman" w:hAnsi="Times New Roman"/>
          <w:color w:val="auto"/>
          <w:sz w:val="24"/>
          <w:szCs w:val="24"/>
        </w:rPr>
        <w:t>ого отклонения, оба предельных отклонения равны ±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/2.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Таким образом, поля допусков в ЕСКД образуются сочетанием основного отклонения (характеристика расположения) и того или иного квалитета (характеристика величины допуска). Условно поле допуска обозначае</w:t>
      </w:r>
      <w:r>
        <w:rPr>
          <w:rFonts w:ascii="Times New Roman" w:hAnsi="Times New Roman"/>
          <w:color w:val="auto"/>
          <w:sz w:val="24"/>
          <w:szCs w:val="24"/>
        </w:rPr>
        <w:t>тся числом, представляющем собой номинальный размер, за которым следует обозначение основного отклонения, затем записывается значение квалитета. Например,  ø25 Н7; 63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js</w:t>
      </w:r>
      <w:r>
        <w:rPr>
          <w:rFonts w:ascii="Times New Roman" w:hAnsi="Times New Roman"/>
          <w:color w:val="auto"/>
          <w:sz w:val="24"/>
          <w:szCs w:val="24"/>
        </w:rPr>
        <w:t>8; ø37,5к6.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00000" w:rsidRDefault="006B609A">
      <w:pPr>
        <w:tabs>
          <w:tab w:val="num" w:pos="360"/>
        </w:tabs>
        <w:ind w:left="-540" w:firstLine="900"/>
        <w:jc w:val="both"/>
      </w:pPr>
      <w:r>
        <w:rPr>
          <w:noProof/>
        </w:rPr>
        <w:drawing>
          <wp:inline distT="0" distB="0" distL="0" distR="0">
            <wp:extent cx="5267325" cy="4333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CFF"/>
                        </a:clrFrom>
                        <a:clrTo>
                          <a:srgbClr val="FFFCFF">
                            <a:alpha val="0"/>
                          </a:srgbClr>
                        </a:clrTo>
                      </a:clrChange>
                      <a:lum bright="6000" contrast="2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D36E8">
      <w:pPr>
        <w:tabs>
          <w:tab w:val="num" w:pos="360"/>
        </w:tabs>
        <w:ind w:left="-540" w:firstLine="900"/>
        <w:jc w:val="both"/>
      </w:pP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 xml:space="preserve">Рис.2. Основные отклонения отверстий (а) и валов (б); </w:t>
      </w:r>
      <w:r>
        <w:rPr>
          <w:rFonts w:ascii="Times New Roman" w:hAnsi="Times New Roman"/>
          <w:i/>
          <w:color w:val="auto"/>
          <w:lang w:val="en-US"/>
        </w:rPr>
        <w:t>D</w:t>
      </w:r>
      <w:r>
        <w:rPr>
          <w:rFonts w:ascii="Times New Roman" w:hAnsi="Times New Roman"/>
          <w:i/>
          <w:color w:val="auto"/>
        </w:rPr>
        <w:t>(</w:t>
      </w:r>
      <w:r>
        <w:rPr>
          <w:rFonts w:ascii="Times New Roman" w:hAnsi="Times New Roman"/>
          <w:i/>
          <w:color w:val="auto"/>
          <w:lang w:val="en-US"/>
        </w:rPr>
        <w:t>d</w:t>
      </w:r>
      <w:r>
        <w:rPr>
          <w:rFonts w:ascii="Times New Roman" w:hAnsi="Times New Roman"/>
          <w:i/>
          <w:color w:val="auto"/>
        </w:rPr>
        <w:t>) – номинальный</w:t>
      </w:r>
      <w:r>
        <w:rPr>
          <w:rFonts w:ascii="Times New Roman" w:hAnsi="Times New Roman"/>
          <w:i/>
          <w:color w:val="auto"/>
        </w:rPr>
        <w:t xml:space="preserve"> размер отверстия (вала).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При известном основном отклонении второе предельное отклонение определяют по формулам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EI=ES-IT;          ei=es-IT;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ES=EI+IT;         es=ei+IT.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Основное отверстие – отверстие, нижнее отклонение которого равно нулю. В этом случае п</w:t>
      </w:r>
      <w:r>
        <w:rPr>
          <w:rFonts w:ascii="Times New Roman" w:hAnsi="Times New Roman"/>
          <w:color w:val="auto"/>
          <w:sz w:val="24"/>
          <w:szCs w:val="24"/>
        </w:rPr>
        <w:t>оле допуска примыкает к нулевой линии и наименьший предельный размер (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) совпадает с номинальным размером. Основное отверстие обозначается – Н.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Основной вал – вал, верхнее отклонение которого равно нулю. Наибольший предельный размер (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) у основного в</w:t>
      </w:r>
      <w:r>
        <w:rPr>
          <w:rFonts w:ascii="Times New Roman" w:hAnsi="Times New Roman"/>
          <w:color w:val="auto"/>
          <w:sz w:val="24"/>
          <w:szCs w:val="24"/>
        </w:rPr>
        <w:t xml:space="preserve">ала совпадает с номинальным размером. Основной вал обозначается –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h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Основное отклонение  устанавливает стандартное положение поля допуска и характер будущей посадки.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Посадки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Посадкой называют характер соединения деталей, определяемый величиной получающих</w:t>
      </w:r>
      <w:r>
        <w:rPr>
          <w:rFonts w:ascii="Times New Roman" w:hAnsi="Times New Roman"/>
          <w:color w:val="auto"/>
          <w:sz w:val="24"/>
          <w:szCs w:val="24"/>
        </w:rPr>
        <w:t>ся в нем зазоров или натягов. Посадки характеризуют свободу относительного перемещения соединяемых деталей или степень сопротивления их взаимному смещению.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 зависимости от взаимного расположения полей допусков отверстия и вала посадки могут быть: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с зазо</w:t>
      </w:r>
      <w:r>
        <w:rPr>
          <w:rFonts w:ascii="Times New Roman" w:hAnsi="Times New Roman"/>
          <w:color w:val="auto"/>
          <w:sz w:val="24"/>
          <w:szCs w:val="24"/>
        </w:rPr>
        <w:t>ром, при которых обеспечивается в соединении (рис.3,а). В этом случае поле допуска отверстия расположено выше поля допуска вала;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с натягом, при которых гарантируется натяг в соединении; поле допуска вала выше поля допуска отверстия (рис.3,б);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переходны</w:t>
      </w:r>
      <w:r>
        <w:rPr>
          <w:rFonts w:ascii="Times New Roman" w:hAnsi="Times New Roman"/>
          <w:color w:val="auto"/>
          <w:sz w:val="24"/>
          <w:szCs w:val="24"/>
        </w:rPr>
        <w:t>е, при которых возможно получение как зазора, так и натяга; поля допусков отверстия и вала пересекаются (рис.3,в).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На рис.2 следует, что основное отклонение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a</w:t>
      </w:r>
      <w:r>
        <w:rPr>
          <w:rFonts w:ascii="Times New Roman" w:hAnsi="Times New Roman"/>
          <w:color w:val="auto"/>
          <w:sz w:val="24"/>
          <w:szCs w:val="24"/>
        </w:rPr>
        <w:t>…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h</w:t>
      </w:r>
      <w:r>
        <w:rPr>
          <w:rFonts w:ascii="Times New Roman" w:hAnsi="Times New Roman"/>
          <w:color w:val="auto"/>
          <w:sz w:val="24"/>
          <w:szCs w:val="24"/>
        </w:rPr>
        <w:t xml:space="preserve"> ( в сочетании с основным отверстием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H</w:t>
      </w:r>
      <w:r>
        <w:rPr>
          <w:rFonts w:ascii="Times New Roman" w:hAnsi="Times New Roman"/>
          <w:color w:val="auto"/>
          <w:sz w:val="24"/>
          <w:szCs w:val="24"/>
        </w:rPr>
        <w:t xml:space="preserve">) и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A</w:t>
      </w:r>
      <w:r>
        <w:rPr>
          <w:rFonts w:ascii="Times New Roman" w:hAnsi="Times New Roman"/>
          <w:color w:val="auto"/>
          <w:sz w:val="24"/>
          <w:szCs w:val="24"/>
        </w:rPr>
        <w:t>..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H</w:t>
      </w:r>
      <w:r>
        <w:rPr>
          <w:rFonts w:ascii="Times New Roman" w:hAnsi="Times New Roman"/>
          <w:color w:val="auto"/>
          <w:sz w:val="24"/>
          <w:szCs w:val="24"/>
        </w:rPr>
        <w:t xml:space="preserve"> (в сочетании с основным валом 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h</w:t>
      </w:r>
      <w:r>
        <w:rPr>
          <w:rFonts w:ascii="Times New Roman" w:hAnsi="Times New Roman"/>
          <w:color w:val="auto"/>
          <w:sz w:val="24"/>
          <w:szCs w:val="24"/>
        </w:rPr>
        <w:t>) предназначены д</w:t>
      </w:r>
      <w:r>
        <w:rPr>
          <w:rFonts w:ascii="Times New Roman" w:hAnsi="Times New Roman"/>
          <w:color w:val="auto"/>
          <w:sz w:val="24"/>
          <w:szCs w:val="24"/>
        </w:rPr>
        <w:t xml:space="preserve">ля образования посадок с зазором;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j</w:t>
      </w:r>
      <w:r>
        <w:rPr>
          <w:rFonts w:ascii="Times New Roman" w:hAnsi="Times New Roman"/>
          <w:color w:val="auto"/>
          <w:sz w:val="24"/>
          <w:szCs w:val="24"/>
        </w:rPr>
        <w:t>…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</w:rPr>
        <w:t xml:space="preserve"> и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J</w:t>
      </w:r>
      <w:r>
        <w:rPr>
          <w:rFonts w:ascii="Times New Roman" w:hAnsi="Times New Roman"/>
          <w:color w:val="auto"/>
          <w:sz w:val="24"/>
          <w:szCs w:val="24"/>
        </w:rPr>
        <w:t>…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</w:rPr>
        <w:t xml:space="preserve"> – переходных посадок;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p</w:t>
      </w:r>
      <w:r>
        <w:rPr>
          <w:rFonts w:ascii="Times New Roman" w:hAnsi="Times New Roman"/>
          <w:color w:val="auto"/>
          <w:sz w:val="24"/>
          <w:szCs w:val="24"/>
        </w:rPr>
        <w:t>…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zc</w:t>
      </w:r>
      <w:r>
        <w:rPr>
          <w:rFonts w:ascii="Times New Roman" w:hAnsi="Times New Roman"/>
          <w:color w:val="auto"/>
          <w:sz w:val="24"/>
          <w:szCs w:val="24"/>
        </w:rPr>
        <w:t xml:space="preserve"> и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P</w:t>
      </w:r>
      <w:r>
        <w:rPr>
          <w:rFonts w:ascii="Times New Roman" w:hAnsi="Times New Roman"/>
          <w:color w:val="auto"/>
          <w:sz w:val="24"/>
          <w:szCs w:val="24"/>
        </w:rPr>
        <w:t>…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ZC</w:t>
      </w:r>
      <w:r>
        <w:rPr>
          <w:rFonts w:ascii="Times New Roman" w:hAnsi="Times New Roman"/>
          <w:color w:val="auto"/>
          <w:sz w:val="24"/>
          <w:szCs w:val="24"/>
        </w:rPr>
        <w:t xml:space="preserve"> – посадок с натягом.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Зазор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</w:rPr>
        <w:t xml:space="preserve"> – положительная разность между размерами отверстия и вала, т.е. размер отверстия больше размера вала</w:t>
      </w:r>
    </w:p>
    <w:p w:rsidR="00000000" w:rsidRDefault="003D36E8">
      <w:pPr>
        <w:tabs>
          <w:tab w:val="num" w:pos="360"/>
        </w:tabs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-d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;          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-d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=ES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-ei;                      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=EI-es.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Натяг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</w:rPr>
        <w:t xml:space="preserve"> – положительная разность между размерами вала и отверстия до сборки, т.е. размер вала больше размера отверстия</w:t>
      </w:r>
    </w:p>
    <w:p w:rsidR="00000000" w:rsidRDefault="003D36E8">
      <w:pPr>
        <w:tabs>
          <w:tab w:val="num" w:pos="360"/>
        </w:tabs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-D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;          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-D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tabs>
          <w:tab w:val="num" w:pos="360"/>
        </w:tabs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=es-EI;                     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=ei-ES.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Допуски и поса</w:t>
      </w:r>
      <w:r>
        <w:rPr>
          <w:rFonts w:ascii="Times New Roman" w:hAnsi="Times New Roman"/>
          <w:color w:val="auto"/>
          <w:sz w:val="24"/>
          <w:szCs w:val="24"/>
        </w:rPr>
        <w:t>дки. Это понятие используется для оценки точности соединения, для всех посадок под допуском посадки понимают сумму допусков отверстия и вала, составляющих соединение.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Допуск посадки с зазором</w:t>
      </w:r>
    </w:p>
    <w:p w:rsidR="00000000" w:rsidRDefault="003D36E8">
      <w:pPr>
        <w:tabs>
          <w:tab w:val="num" w:pos="360"/>
        </w:tabs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TS=S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-S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=(ES-EI)+(es-ei)=ITD+ITd</w:t>
      </w:r>
    </w:p>
    <w:p w:rsidR="00000000" w:rsidRDefault="003D36E8">
      <w:pPr>
        <w:tabs>
          <w:tab w:val="num" w:pos="360"/>
        </w:tabs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Допуск посадки с натягом</w:t>
      </w:r>
    </w:p>
    <w:p w:rsidR="00000000" w:rsidRDefault="003D36E8">
      <w:pPr>
        <w:ind w:left="36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TN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-N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=(es-ei)+(ES-EI)=ITD+ITd</w:t>
      </w:r>
    </w:p>
    <w:p w:rsidR="00000000" w:rsidRDefault="003D36E8">
      <w:pPr>
        <w:ind w:left="360"/>
        <w:jc w:val="both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</w:rPr>
        <w:t>Допуск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переходной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посадки</w:t>
      </w:r>
    </w:p>
    <w:p w:rsidR="00000000" w:rsidRDefault="003D36E8">
      <w:pPr>
        <w:ind w:left="36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T(S,N)=S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+N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=(ES-EI)+(es-ei)=ITD+ITd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Сочетанием основных отклонений и различных квалитетов может быть образовано громадное количество посадок. Применение любых посадок в производственных усло</w:t>
      </w:r>
      <w:r>
        <w:rPr>
          <w:rFonts w:ascii="Times New Roman" w:hAnsi="Times New Roman"/>
          <w:color w:val="auto"/>
          <w:sz w:val="24"/>
          <w:szCs w:val="24"/>
        </w:rPr>
        <w:t>виях экономически нецелесообразно, так как чрезмерно затрудняет унификацию режущего инструмента и калибров. Поэтому произведен ограничительный отбор посадок, рекомендуемых для применения. Также посадки называются предпочтительными. Они обозначены в таблица</w:t>
      </w:r>
      <w:r>
        <w:rPr>
          <w:rFonts w:ascii="Times New Roman" w:hAnsi="Times New Roman"/>
          <w:color w:val="auto"/>
          <w:sz w:val="24"/>
          <w:szCs w:val="24"/>
        </w:rPr>
        <w:t>х ГОСТа специальным значком (заключены в рамки).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00000" w:rsidRDefault="003D36E8">
      <w:pPr>
        <w:ind w:left="-540" w:firstLine="900"/>
        <w:jc w:val="both"/>
      </w:pPr>
      <w:r>
        <w:object w:dxaOrig="8358" w:dyaOrig="2713">
          <v:shape id="_x0000_i1026" type="#_x0000_t75" style="width:417.75pt;height:135.75pt" o:ole="">
            <v:imagedata r:id="rId8" o:title=""/>
          </v:shape>
          <o:OLEObject Type="Embed" ProgID="Visio.Drawing.6" ShapeID="_x0000_i1026" DrawAspect="Content" ObjectID="_1553111815" r:id="rId9"/>
        </w:object>
      </w:r>
    </w:p>
    <w:p w:rsidR="00000000" w:rsidRDefault="003D36E8">
      <w:pPr>
        <w:ind w:left="-540" w:firstLine="900"/>
        <w:jc w:val="both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>Рис.3. Схема расположения полей допусков различных посадок: а- посадка с зазором; б- посадка с натягом; в- переходная посадка.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00000" w:rsidRDefault="003D36E8">
      <w:pPr>
        <w:numPr>
          <w:ilvl w:val="0"/>
          <w:numId w:val="1"/>
        </w:numPr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СИСТЕМЫ ОБРАЗОВАНИЯ ПОСАДОК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Для унификации детале</w:t>
      </w:r>
      <w:r>
        <w:rPr>
          <w:rFonts w:ascii="Times New Roman" w:hAnsi="Times New Roman"/>
          <w:color w:val="auto"/>
          <w:sz w:val="24"/>
          <w:szCs w:val="24"/>
        </w:rPr>
        <w:t>й и инструмента наиболее рациональным является такой способ образования посадок, когда одна деталь (отверстие или вал) в различных посадках имеет постоянное расположение поля допуска, а требуемый характер посадки обеспечивается подбором расположения поля д</w:t>
      </w:r>
      <w:r>
        <w:rPr>
          <w:rFonts w:ascii="Times New Roman" w:hAnsi="Times New Roman"/>
          <w:color w:val="auto"/>
          <w:sz w:val="24"/>
          <w:szCs w:val="24"/>
        </w:rPr>
        <w:t>опуска другой детали соединения. Деталь, имеющая в посадках постоянное расположение поля допуска, является как бы основанием системы посадок и носит название «основное отверстие» или «основной вал».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 виду основной детали различают посадки в системе отвер</w:t>
      </w:r>
      <w:r>
        <w:rPr>
          <w:rFonts w:ascii="Times New Roman" w:hAnsi="Times New Roman"/>
          <w:color w:val="auto"/>
          <w:sz w:val="24"/>
          <w:szCs w:val="24"/>
        </w:rPr>
        <w:t>стия и в системе вала.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Система отверстия (СО) – система посадок, в которой посадки с различными зазорами и натягами получаются соединением валов с различными отклонениями с основным отверстием (рис.4,а).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Система вала (СВ) – система посадок, в которой осадк</w:t>
      </w:r>
      <w:r>
        <w:rPr>
          <w:rFonts w:ascii="Times New Roman" w:hAnsi="Times New Roman"/>
          <w:color w:val="auto"/>
          <w:sz w:val="24"/>
          <w:szCs w:val="24"/>
        </w:rPr>
        <w:t>и с различными зазорами и натягами получаются соединением различных отверстий с основным валом (рис.4,б).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00000" w:rsidRDefault="003D36E8">
      <w:pPr>
        <w:ind w:left="-540" w:firstLine="900"/>
        <w:jc w:val="both"/>
      </w:pPr>
      <w:r>
        <w:object w:dxaOrig="8009" w:dyaOrig="3008">
          <v:shape id="_x0000_i1027" type="#_x0000_t75" style="width:400.5pt;height:150.75pt" o:ole="">
            <v:imagedata r:id="rId10" o:title=""/>
          </v:shape>
          <o:OLEObject Type="Embed" ProgID="Visio.Drawing.6" ShapeID="_x0000_i1027" DrawAspect="Content" ObjectID="_1553111816" r:id="rId11"/>
        </w:object>
      </w:r>
    </w:p>
    <w:p w:rsidR="00000000" w:rsidRDefault="003D36E8">
      <w:pPr>
        <w:ind w:left="-540" w:firstLine="900"/>
        <w:jc w:val="both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>Рис.4. Система образования посадок: а- система отверстий; б- система вала.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Несмотря на то, что системы отверстия и вала</w:t>
      </w:r>
      <w:r>
        <w:rPr>
          <w:rFonts w:ascii="Times New Roman" w:hAnsi="Times New Roman"/>
          <w:color w:val="auto"/>
          <w:sz w:val="24"/>
          <w:szCs w:val="24"/>
        </w:rPr>
        <w:t xml:space="preserve"> равноправны, в машино- и приборостроении применяют в основном систему отверстия, так как получить вал с различным расположением поля допуска технологически проще, чем отверстие. В некоторых отдельных случаях выгодно применять и систему вала, например когд</w:t>
      </w:r>
      <w:r>
        <w:rPr>
          <w:rFonts w:ascii="Times New Roman" w:hAnsi="Times New Roman"/>
          <w:color w:val="auto"/>
          <w:sz w:val="24"/>
          <w:szCs w:val="24"/>
        </w:rPr>
        <w:t>а детали типа осей, валиков изготавливаются из калиброванных прутков без механической обработки их наружных поверхностей.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При выборе системы посадок следует учитывать характер соединения. Например, вал для соединения с внутренним кольцом подшипника качения</w:t>
      </w:r>
      <w:r>
        <w:rPr>
          <w:rFonts w:ascii="Times New Roman" w:hAnsi="Times New Roman"/>
          <w:color w:val="auto"/>
          <w:sz w:val="24"/>
          <w:szCs w:val="24"/>
        </w:rPr>
        <w:t xml:space="preserve"> должен всегда изготавливаться в системе отверстия, а гнездо в корпусе прибора для посадки наружного кольца – в системе вала.</w:t>
      </w:r>
    </w:p>
    <w:p w:rsidR="00000000" w:rsidRDefault="003D36E8">
      <w:pPr>
        <w:numPr>
          <w:ilvl w:val="0"/>
          <w:numId w:val="1"/>
        </w:numPr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ОБОЗНАЧЕНИЕ ДОПУСКОВ И ПОСАДОК НА ЧЕРТЕЖАХ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Детали изготавливают по чертежам, на различных линиях которых после номинальных размеро</w:t>
      </w:r>
      <w:r>
        <w:rPr>
          <w:rFonts w:ascii="Times New Roman" w:hAnsi="Times New Roman"/>
          <w:color w:val="auto"/>
          <w:sz w:val="24"/>
          <w:szCs w:val="24"/>
        </w:rPr>
        <w:t>в проставлены допуски на размер в виде условных обозначений полей допусков либо цифрами, соответствующими верхним и нижним предельным отклонениям. ГОСТ 23346-82 предусматривает три варианта задания допуска на размер (рис.5):</w:t>
      </w:r>
    </w:p>
    <w:p w:rsidR="00000000" w:rsidRDefault="003D36E8">
      <w:pPr>
        <w:ind w:left="36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00000" w:rsidRDefault="003D36E8">
      <w:pPr>
        <w:ind w:left="360"/>
        <w:jc w:val="both"/>
      </w:pPr>
      <w:r>
        <w:object w:dxaOrig="6878" w:dyaOrig="2798">
          <v:shape id="_x0000_i1028" type="#_x0000_t75" style="width:344.25pt;height:140.25pt" o:ole="">
            <v:imagedata r:id="rId12" o:title=""/>
          </v:shape>
          <o:OLEObject Type="Embed" ProgID="Visio.Drawing.6" ShapeID="_x0000_i1028" DrawAspect="Content" ObjectID="_1553111817" r:id="rId13"/>
        </w:object>
      </w:r>
    </w:p>
    <w:p w:rsidR="00000000" w:rsidRDefault="003D36E8">
      <w:pPr>
        <w:ind w:left="360"/>
        <w:jc w:val="both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>Р</w:t>
      </w:r>
      <w:r>
        <w:rPr>
          <w:rFonts w:ascii="Times New Roman" w:hAnsi="Times New Roman"/>
          <w:i/>
          <w:color w:val="auto"/>
        </w:rPr>
        <w:t>ис.5. Варианты обозначения полей допусков и посадок на чертежах: а- вала; б- отверстия; в- соединение вала с отверстием.</w:t>
      </w:r>
    </w:p>
    <w:p w:rsidR="00000000" w:rsidRDefault="003D36E8">
      <w:pPr>
        <w:ind w:left="360"/>
        <w:jc w:val="both"/>
        <w:rPr>
          <w:rFonts w:ascii="Times New Roman" w:hAnsi="Times New Roman"/>
          <w:i/>
          <w:color w:val="auto"/>
        </w:rPr>
      </w:pP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1) с обозначением поля допуска в виде задания основного отклонения и номера квалитета, например вал </w:t>
      </w:r>
      <w:r>
        <w:rPr>
          <w:rFonts w:ascii="Times New Roman" w:hAnsi="Times New Roman"/>
          <w:color w:val="auto"/>
          <w:sz w:val="28"/>
          <w:szCs w:val="28"/>
        </w:rPr>
        <w:t>ø</w:t>
      </w:r>
      <w:r>
        <w:rPr>
          <w:rFonts w:ascii="Times New Roman" w:hAnsi="Times New Roman"/>
          <w:color w:val="auto"/>
          <w:sz w:val="24"/>
          <w:szCs w:val="24"/>
        </w:rPr>
        <w:t>40е8 мм или отверстие</w:t>
      </w:r>
      <w:r>
        <w:rPr>
          <w:rFonts w:ascii="Times New Roman" w:hAnsi="Times New Roman"/>
          <w:color w:val="auto"/>
          <w:sz w:val="28"/>
          <w:szCs w:val="28"/>
        </w:rPr>
        <w:t xml:space="preserve"> ø</w:t>
      </w:r>
      <w:r>
        <w:rPr>
          <w:rFonts w:ascii="Times New Roman" w:hAnsi="Times New Roman"/>
          <w:color w:val="auto"/>
          <w:sz w:val="24"/>
          <w:szCs w:val="24"/>
        </w:rPr>
        <w:t>40Н7 мм;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2</w:t>
      </w:r>
      <w:r>
        <w:rPr>
          <w:rFonts w:ascii="Times New Roman" w:hAnsi="Times New Roman"/>
          <w:color w:val="auto"/>
          <w:sz w:val="24"/>
          <w:szCs w:val="24"/>
        </w:rPr>
        <w:t xml:space="preserve">) с указанием числовых значений верхнего и нижнего отклонений и их знаков, например вал   </w:t>
      </w:r>
      <w:r>
        <w:rPr>
          <w:rFonts w:ascii="Times New Roman" w:hAnsi="Times New Roman"/>
          <w:color w:val="auto"/>
          <w:sz w:val="28"/>
          <w:szCs w:val="28"/>
        </w:rPr>
        <w:t>ø</w:t>
      </w:r>
      <w:r>
        <w:rPr>
          <w:rFonts w:ascii="Times New Roman" w:hAnsi="Times New Roman"/>
          <w:color w:val="auto"/>
          <w:position w:val="-14"/>
          <w:sz w:val="24"/>
          <w:szCs w:val="24"/>
        </w:rPr>
        <w:object w:dxaOrig="740" w:dyaOrig="400">
          <v:shape id="_x0000_i1029" type="#_x0000_t75" style="width:36.75pt;height:20.25pt" o:ole="">
            <v:imagedata r:id="rId14" o:title=""/>
          </v:shape>
          <o:OLEObject Type="Embed" ProgID="Equation.3" ShapeID="_x0000_i1029" DrawAspect="Content" ObjectID="_1553111818" r:id="rId15"/>
        </w:object>
      </w:r>
      <w:r>
        <w:rPr>
          <w:rFonts w:ascii="Times New Roman" w:hAnsi="Times New Roman"/>
          <w:color w:val="auto"/>
          <w:sz w:val="24"/>
          <w:szCs w:val="24"/>
        </w:rPr>
        <w:t xml:space="preserve"> мм или отверстие </w:t>
      </w:r>
      <w:r>
        <w:rPr>
          <w:rFonts w:ascii="Times New Roman" w:hAnsi="Times New Roman"/>
          <w:color w:val="auto"/>
          <w:sz w:val="28"/>
          <w:szCs w:val="28"/>
        </w:rPr>
        <w:t>ø</w:t>
      </w:r>
      <w:r>
        <w:rPr>
          <w:rFonts w:ascii="Times New Roman" w:hAnsi="Times New Roman"/>
          <w:color w:val="auto"/>
          <w:sz w:val="24"/>
          <w:szCs w:val="24"/>
        </w:rPr>
        <w:t>40</w:t>
      </w:r>
      <w:r>
        <w:rPr>
          <w:rFonts w:ascii="Times New Roman" w:hAnsi="Times New Roman"/>
          <w:color w:val="auto"/>
          <w:sz w:val="24"/>
          <w:szCs w:val="24"/>
          <w:vertAlign w:val="superscript"/>
        </w:rPr>
        <w:t>+0,025</w:t>
      </w:r>
      <w:r>
        <w:rPr>
          <w:rFonts w:ascii="Times New Roman" w:hAnsi="Times New Roman"/>
          <w:color w:val="auto"/>
          <w:sz w:val="24"/>
          <w:szCs w:val="24"/>
        </w:rPr>
        <w:t xml:space="preserve"> мм (ноль, соответствующий нижнему отклонению, не указывается);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3) комбинированным способом, т.е. сочетанием обозна</w:t>
      </w:r>
      <w:r>
        <w:rPr>
          <w:rFonts w:ascii="Times New Roman" w:hAnsi="Times New Roman"/>
          <w:color w:val="auto"/>
          <w:sz w:val="24"/>
          <w:szCs w:val="24"/>
        </w:rPr>
        <w:t xml:space="preserve">чений по первому и второму вариантам, например вал </w:t>
      </w:r>
      <w:r>
        <w:rPr>
          <w:rFonts w:ascii="Times New Roman" w:hAnsi="Times New Roman"/>
          <w:color w:val="auto"/>
          <w:sz w:val="28"/>
          <w:szCs w:val="28"/>
        </w:rPr>
        <w:t>ø</w:t>
      </w:r>
      <w:r>
        <w:rPr>
          <w:rFonts w:ascii="Times New Roman" w:hAnsi="Times New Roman"/>
          <w:color w:val="auto"/>
          <w:position w:val="-14"/>
          <w:sz w:val="24"/>
          <w:szCs w:val="24"/>
        </w:rPr>
        <w:object w:dxaOrig="1160" w:dyaOrig="400">
          <v:shape id="_x0000_i1030" type="#_x0000_t75" style="width:57.75pt;height:20.25pt" o:ole="">
            <v:imagedata r:id="rId16" o:title=""/>
          </v:shape>
          <o:OLEObject Type="Embed" ProgID="Equation.3" ShapeID="_x0000_i1030" DrawAspect="Content" ObjectID="_1553111819" r:id="rId17"/>
        </w:object>
      </w:r>
      <w:r>
        <w:rPr>
          <w:rFonts w:ascii="Times New Roman" w:hAnsi="Times New Roman"/>
          <w:color w:val="auto"/>
          <w:sz w:val="24"/>
          <w:szCs w:val="24"/>
        </w:rPr>
        <w:t xml:space="preserve">мм или отверстие </w:t>
      </w:r>
      <w:r>
        <w:rPr>
          <w:rFonts w:ascii="Times New Roman" w:hAnsi="Times New Roman"/>
          <w:color w:val="auto"/>
          <w:sz w:val="28"/>
          <w:szCs w:val="28"/>
        </w:rPr>
        <w:t>ø</w:t>
      </w:r>
      <w:r>
        <w:rPr>
          <w:rFonts w:ascii="Times New Roman" w:hAnsi="Times New Roman"/>
          <w:color w:val="auto"/>
          <w:sz w:val="24"/>
          <w:szCs w:val="24"/>
        </w:rPr>
        <w:t>40Н7(</w:t>
      </w:r>
      <w:r>
        <w:rPr>
          <w:rFonts w:ascii="Times New Roman" w:hAnsi="Times New Roman"/>
          <w:color w:val="auto"/>
          <w:sz w:val="24"/>
          <w:szCs w:val="24"/>
          <w:vertAlign w:val="superscript"/>
        </w:rPr>
        <w:t>+0,025</w:t>
      </w:r>
      <w:r>
        <w:rPr>
          <w:rFonts w:ascii="Times New Roman" w:hAnsi="Times New Roman"/>
          <w:color w:val="auto"/>
          <w:sz w:val="24"/>
          <w:szCs w:val="24"/>
        </w:rPr>
        <w:t>) мм.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Посадки указываются на чертежах общего вида и сборочныхв виде дробис указанием информации об отверстии в числителе, а вала – в знаменателе.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Третий</w:t>
      </w:r>
      <w:r>
        <w:rPr>
          <w:rFonts w:ascii="Times New Roman" w:hAnsi="Times New Roman"/>
          <w:color w:val="auto"/>
          <w:sz w:val="24"/>
          <w:szCs w:val="24"/>
        </w:rPr>
        <w:t xml:space="preserve"> вариант обозначения применяют при назначении стандартных предельных отклонеий для размеров, не входящих в ряды нормальных линейных размеров, например 41,5 Н8(+0,039) мм.</w:t>
      </w:r>
    </w:p>
    <w:p w:rsidR="00000000" w:rsidRDefault="003D36E8">
      <w:pPr>
        <w:numPr>
          <w:ilvl w:val="0"/>
          <w:numId w:val="1"/>
        </w:numPr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ПРИМЕРЫ РАСЧЕТА ДОПУСКОВ И ПОСАДОК</w:t>
      </w:r>
    </w:p>
    <w:p w:rsidR="00000000" w:rsidRDefault="003D36E8">
      <w:pPr>
        <w:numPr>
          <w:ilvl w:val="1"/>
          <w:numId w:val="1"/>
        </w:numPr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Посадка с зазором.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Рассмотрим предпочтительную пос</w:t>
      </w:r>
      <w:r>
        <w:rPr>
          <w:rFonts w:ascii="Times New Roman" w:hAnsi="Times New Roman"/>
          <w:color w:val="auto"/>
          <w:sz w:val="24"/>
          <w:szCs w:val="24"/>
        </w:rPr>
        <w:t xml:space="preserve">адку с зазором </w:t>
      </w:r>
      <w:r>
        <w:rPr>
          <w:rFonts w:ascii="Times New Roman" w:hAnsi="Times New Roman"/>
          <w:color w:val="auto"/>
          <w:sz w:val="28"/>
          <w:szCs w:val="28"/>
        </w:rPr>
        <w:t>ø</w:t>
      </w:r>
      <w:r>
        <w:rPr>
          <w:rFonts w:ascii="Times New Roman" w:hAnsi="Times New Roman"/>
          <w:color w:val="auto"/>
          <w:position w:val="-24"/>
          <w:sz w:val="24"/>
          <w:szCs w:val="24"/>
        </w:rPr>
        <w:object w:dxaOrig="700" w:dyaOrig="620">
          <v:shape id="_x0000_i1031" type="#_x0000_t75" style="width:35.25pt;height:30.75pt" o:ole="">
            <v:imagedata r:id="rId18" o:title=""/>
          </v:shape>
          <o:OLEObject Type="Embed" ProgID="Equation.3" ShapeID="_x0000_i1031" DrawAspect="Content" ObjectID="_1553111820" r:id="rId19"/>
        </w:object>
      </w:r>
      <w:r>
        <w:rPr>
          <w:rFonts w:ascii="Times New Roman" w:hAnsi="Times New Roman"/>
          <w:color w:val="auto"/>
          <w:sz w:val="24"/>
          <w:szCs w:val="24"/>
        </w:rPr>
        <w:t>. Требуется определить предельные размеры отверстия и вала, величину зазора, допуск посадки, а также графически изобразить поля допусков.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Отверстие. В данном случае отверстие основное, поэтому нижнее отклонение у него</w:t>
      </w:r>
      <w:r>
        <w:rPr>
          <w:rFonts w:ascii="Times New Roman" w:hAnsi="Times New Roman"/>
          <w:color w:val="auto"/>
          <w:sz w:val="24"/>
          <w:szCs w:val="24"/>
        </w:rPr>
        <w:t xml:space="preserve"> равно нулю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EI=0.</w:t>
      </w:r>
      <w:r>
        <w:rPr>
          <w:rFonts w:ascii="Times New Roman" w:hAnsi="Times New Roman"/>
          <w:color w:val="auto"/>
          <w:sz w:val="24"/>
          <w:szCs w:val="24"/>
        </w:rPr>
        <w:t xml:space="preserve"> На основании формулы (2) находим наименьший предельный размер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=D+EI=25,000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По табл.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 xml:space="preserve"> в ГОСТе находим значение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 xml:space="preserve">8 для номинального размера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 xml:space="preserve">=25 мм; 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 xml:space="preserve">8=33 мкм. Следовательно, наибольший предельный размер можно найти по формуле </w:t>
      </w:r>
      <w:r>
        <w:rPr>
          <w:rFonts w:ascii="Times New Roman" w:hAnsi="Times New Roman"/>
          <w:color w:val="auto"/>
          <w:sz w:val="24"/>
          <w:szCs w:val="24"/>
        </w:rPr>
        <w:t>(3).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+IT8=25,000+0,033=25,033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Вал. По таблице основных отклонений в ГОСТе находим основное отклонение для вала: отклонение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 xml:space="preserve"> соответствует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es</w:t>
      </w:r>
      <w:r>
        <w:rPr>
          <w:rFonts w:ascii="Times New Roman" w:hAnsi="Times New Roman"/>
          <w:color w:val="auto"/>
          <w:sz w:val="24"/>
          <w:szCs w:val="24"/>
        </w:rPr>
        <w:t>=-65 мкм. Тогда на основании формулы (1)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=d+es=25,000-0,065=24,935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По таблице ГОСТа для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 xml:space="preserve"> име</w:t>
      </w:r>
      <w:r>
        <w:rPr>
          <w:rFonts w:ascii="Times New Roman" w:hAnsi="Times New Roman"/>
          <w:color w:val="auto"/>
          <w:sz w:val="24"/>
          <w:szCs w:val="24"/>
        </w:rPr>
        <w:t xml:space="preserve">ем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9=52 мкм, тогда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-IT9=24,935-0,052=24,883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По формуле (2)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>=-0,117 мм.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Максимальный зазор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 xml:space="preserve">=0,150 мм=25 мкм или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ES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=0,033-(-0,117)=0,150 мм.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Минимальный зазор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 xml:space="preserve">=0,065 мм или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es</w:t>
      </w:r>
      <w:r>
        <w:rPr>
          <w:rFonts w:ascii="Times New Roman" w:hAnsi="Times New Roman"/>
          <w:color w:val="auto"/>
          <w:sz w:val="24"/>
          <w:szCs w:val="24"/>
        </w:rPr>
        <w:t>=0-(-0,065)=0,0</w:t>
      </w:r>
      <w:r>
        <w:rPr>
          <w:rFonts w:ascii="Times New Roman" w:hAnsi="Times New Roman"/>
          <w:color w:val="auto"/>
          <w:sz w:val="24"/>
          <w:szCs w:val="24"/>
        </w:rPr>
        <w:t>65 мм.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Допуск посадки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TS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=0,15-0,065=0,085 мм,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TS=ITD+ITd=0,033+0,52=0,085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Расположение полей допуска показано на рис.6,а.</w:t>
      </w:r>
    </w:p>
    <w:p w:rsidR="00000000" w:rsidRDefault="003D36E8">
      <w:pPr>
        <w:numPr>
          <w:ilvl w:val="1"/>
          <w:numId w:val="1"/>
        </w:numPr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Переходная посадка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Пусить имеется переходная посадка </w:t>
      </w:r>
      <w:r>
        <w:rPr>
          <w:rFonts w:ascii="Times New Roman" w:hAnsi="Times New Roman"/>
          <w:color w:val="auto"/>
          <w:sz w:val="28"/>
          <w:szCs w:val="28"/>
        </w:rPr>
        <w:t>ø</w:t>
      </w:r>
      <w:r>
        <w:rPr>
          <w:rFonts w:ascii="Times New Roman" w:hAnsi="Times New Roman"/>
          <w:color w:val="auto"/>
          <w:position w:val="-28"/>
          <w:sz w:val="24"/>
          <w:szCs w:val="24"/>
        </w:rPr>
        <w:object w:dxaOrig="700" w:dyaOrig="660">
          <v:shape id="_x0000_i1032" type="#_x0000_t75" style="width:35.25pt;height:33pt" o:ole="">
            <v:imagedata r:id="rId20" o:title=""/>
          </v:shape>
          <o:OLEObject Type="Embed" ProgID="Equation.3" ShapeID="_x0000_i1032" DrawAspect="Content" ObjectID="_1553111821" r:id="rId21"/>
        </w:object>
      </w:r>
      <w:r>
        <w:rPr>
          <w:rFonts w:ascii="Times New Roman" w:hAnsi="Times New Roman"/>
          <w:color w:val="auto"/>
          <w:sz w:val="24"/>
          <w:szCs w:val="24"/>
        </w:rPr>
        <w:t>. Определим для данной посадки предельные р</w:t>
      </w:r>
      <w:r>
        <w:rPr>
          <w:rFonts w:ascii="Times New Roman" w:hAnsi="Times New Roman"/>
          <w:color w:val="auto"/>
          <w:sz w:val="24"/>
          <w:szCs w:val="24"/>
        </w:rPr>
        <w:t>азмеры отверстия и вала, допуск посадки, а также графически изобразим поля допусков.</w:t>
      </w:r>
    </w:p>
    <w:p w:rsidR="00000000" w:rsidRDefault="003D36E8">
      <w:pPr>
        <w:ind w:left="36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Отверстие. На основании формулы (2) находим наименьший предельный размер</w:t>
      </w:r>
    </w:p>
    <w:p w:rsidR="00000000" w:rsidRDefault="003D36E8">
      <w:pPr>
        <w:ind w:left="36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=D+EI=15,000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,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где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=0, т.к. отверстие Н основное.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По таблице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 xml:space="preserve"> в ГОСТе находим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7 для но</w:t>
      </w:r>
      <w:r>
        <w:rPr>
          <w:rFonts w:ascii="Times New Roman" w:hAnsi="Times New Roman"/>
          <w:color w:val="auto"/>
          <w:sz w:val="24"/>
          <w:szCs w:val="24"/>
        </w:rPr>
        <w:t xml:space="preserve">минального размера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</w:rPr>
        <w:t xml:space="preserve">=15 мм: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7=18 мкм. Наибольший предельный размер по формуле (3) равен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+IT7=15,000+ 0,018=15,018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Вал. В данной переходной посадке вал </w:t>
      </w:r>
      <w:r>
        <w:rPr>
          <w:rFonts w:ascii="Times New Roman" w:hAnsi="Times New Roman"/>
          <w:color w:val="auto"/>
          <w:sz w:val="28"/>
          <w:szCs w:val="28"/>
        </w:rPr>
        <w:t>ø</w:t>
      </w:r>
      <w:r>
        <w:rPr>
          <w:rFonts w:ascii="Times New Roman" w:hAnsi="Times New Roman"/>
          <w:color w:val="auto"/>
          <w:sz w:val="24"/>
          <w:szCs w:val="24"/>
        </w:rPr>
        <w:t>15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js</w:t>
      </w:r>
      <w:r>
        <w:rPr>
          <w:rFonts w:ascii="Times New Roman" w:hAnsi="Times New Roman"/>
          <w:color w:val="auto"/>
          <w:sz w:val="24"/>
          <w:szCs w:val="24"/>
        </w:rPr>
        <w:t xml:space="preserve">6 имеет предельные отклонения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es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6/2=5,5 мкм и тогда предельные размеры вала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=d+ei=15,000=0,0055=14,9945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,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=d+es=15,000+0,0055=15,0055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Максимальный зазор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=15,018-14,9945=0,0235 мм.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Максимальный натяг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=15,0055-15,000=0,0055 мм.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Допуск переходной посадки в соответствии с формулой (9)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T(S,N)=S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+N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=0,0235+0,0055=0,029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Поля допусков переходной посадки показаны на рис.6,б.</w:t>
      </w:r>
    </w:p>
    <w:p w:rsidR="00000000" w:rsidRDefault="003D36E8">
      <w:pPr>
        <w:numPr>
          <w:ilvl w:val="1"/>
          <w:numId w:val="1"/>
        </w:numPr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Посадка с натягом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Рассмотрим посадку с натягом ø</w:t>
      </w:r>
      <w:r>
        <w:rPr>
          <w:rFonts w:ascii="Times New Roman" w:hAnsi="Times New Roman"/>
          <w:color w:val="auto"/>
          <w:position w:val="-24"/>
          <w:sz w:val="24"/>
          <w:szCs w:val="24"/>
        </w:rPr>
        <w:object w:dxaOrig="660" w:dyaOrig="620">
          <v:shape id="_x0000_i1033" type="#_x0000_t75" style="width:33pt;height:30.75pt" o:ole="">
            <v:imagedata r:id="rId22" o:title=""/>
          </v:shape>
          <o:OLEObject Type="Embed" ProgID="Equation.3" ShapeID="_x0000_i1033" DrawAspect="Content" ObjectID="_1553111822" r:id="rId23"/>
        </w:object>
      </w:r>
      <w:r>
        <w:rPr>
          <w:rFonts w:ascii="Times New Roman" w:hAnsi="Times New Roman"/>
          <w:color w:val="auto"/>
          <w:sz w:val="24"/>
          <w:szCs w:val="24"/>
        </w:rPr>
        <w:t>, для которой определим предельные размеры отверстия и вала, величину натяга, допуск посадки и изобра</w:t>
      </w:r>
      <w:r>
        <w:rPr>
          <w:rFonts w:ascii="Times New Roman" w:hAnsi="Times New Roman"/>
          <w:color w:val="auto"/>
          <w:sz w:val="24"/>
          <w:szCs w:val="24"/>
        </w:rPr>
        <w:t>зим поля допусков.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Отверстие. Так как отверстие, то для него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>=0 и, следовательно,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=D+EI=15,000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Из таблицы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 xml:space="preserve"> находим для 7-го квалитета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7=18 мкм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+IT7=15,000+0,018=15,018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Вал. В посадке с натягом вал </w:t>
      </w:r>
      <w:r>
        <w:rPr>
          <w:rFonts w:ascii="Times New Roman" w:hAnsi="Times New Roman"/>
          <w:color w:val="auto"/>
          <w:sz w:val="28"/>
          <w:szCs w:val="28"/>
        </w:rPr>
        <w:t>ø</w:t>
      </w:r>
      <w:r>
        <w:rPr>
          <w:rFonts w:ascii="Times New Roman" w:hAnsi="Times New Roman"/>
          <w:color w:val="auto"/>
          <w:sz w:val="24"/>
          <w:szCs w:val="24"/>
        </w:rPr>
        <w:t>15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</w:rPr>
        <w:t xml:space="preserve">6 имеет основное отклонение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ei</w:t>
      </w:r>
      <w:r>
        <w:rPr>
          <w:rFonts w:ascii="Times New Roman" w:hAnsi="Times New Roman"/>
          <w:color w:val="auto"/>
          <w:sz w:val="24"/>
          <w:szCs w:val="24"/>
        </w:rPr>
        <w:t xml:space="preserve">=0,028 мкм и допуск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6=11 мкм, поэтому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=d+ei=15,000+0,028=15,028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,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=d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+IT6=15,028+0,011=15,039 </w:t>
      </w:r>
      <w:r>
        <w:rPr>
          <w:rFonts w:ascii="Times New Roman" w:hAnsi="Times New Roman"/>
          <w:color w:val="auto"/>
          <w:sz w:val="24"/>
          <w:szCs w:val="24"/>
        </w:rPr>
        <w:t>мм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Максимальный натяг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=15,039-15,000=0,039 мм.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Минимальный натяг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D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=15,028-15,018=0,010 мм.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Допуск посадки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en-US"/>
        </w:rPr>
        <w:t>TN</w:t>
      </w:r>
      <w:r>
        <w:rPr>
          <w:rFonts w:ascii="Times New Roman" w:hAnsi="Times New Roman"/>
          <w:color w:val="auto"/>
          <w:sz w:val="24"/>
          <w:szCs w:val="24"/>
        </w:rPr>
        <w:t>=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/>
          <w:color w:val="auto"/>
          <w:sz w:val="24"/>
          <w:szCs w:val="24"/>
        </w:rPr>
        <w:t>-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N</w:t>
      </w:r>
      <w:r>
        <w:rPr>
          <w:rFonts w:ascii="Times New Roman" w:hAnsi="Times New Roman"/>
          <w:color w:val="auto"/>
          <w:sz w:val="24"/>
          <w:szCs w:val="24"/>
          <w:vertAlign w:val="subscript"/>
          <w:lang w:val="en-US"/>
        </w:rPr>
        <w:t>min</w:t>
      </w:r>
      <w:r>
        <w:rPr>
          <w:rFonts w:ascii="Times New Roman" w:hAnsi="Times New Roman"/>
          <w:color w:val="auto"/>
          <w:sz w:val="24"/>
          <w:szCs w:val="24"/>
        </w:rPr>
        <w:t>=0,039-0,010=0,029 мм.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Поля допусков посадки с натягом показаны на рис.6,в.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ind w:left="-540" w:firstLine="900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ind w:left="-540" w:firstLine="900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ind w:left="-540" w:firstLine="900"/>
        <w:jc w:val="center"/>
      </w:pPr>
      <w:r>
        <w:object w:dxaOrig="8084" w:dyaOrig="3592">
          <v:shape id="_x0000_i1034" type="#_x0000_t75" style="width:404.25pt;height:179.25pt" o:ole="">
            <v:imagedata r:id="rId24" o:title=""/>
          </v:shape>
          <o:OLEObject Type="Embed" ProgID="Visio.Drawing.6" ShapeID="_x0000_i1034" DrawAspect="Content" ObjectID="_1553111823" r:id="rId25"/>
        </w:object>
      </w:r>
    </w:p>
    <w:p w:rsidR="00000000" w:rsidRDefault="003D36E8">
      <w:pPr>
        <w:ind w:left="-540" w:firstLine="900"/>
        <w:jc w:val="both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>Рис.6. Поля допусков размеров: а- посадка с зазором; б- переходная посадка; в- посадка с натягом.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</w:rPr>
      </w:pPr>
    </w:p>
    <w:p w:rsidR="00000000" w:rsidRDefault="003D36E8">
      <w:pPr>
        <w:ind w:left="-540" w:firstLine="90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6. НЕУКАЗАННЫЕ ПРЕДЕЛЬНЫЕ ОТКЛОНЕНИЯ РАЗМЕРОВ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Есл</w:t>
      </w:r>
      <w:r>
        <w:rPr>
          <w:rFonts w:ascii="Times New Roman" w:hAnsi="Times New Roman"/>
          <w:color w:val="auto"/>
          <w:sz w:val="24"/>
          <w:szCs w:val="24"/>
        </w:rPr>
        <w:t>и верхние и нижние отклонения не указаны непосредственно на чертеже детали после номинального размера, а оговорены общей записью в технических требованиях чертежа, то они называются предельными отклонениями.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Для линейных размеров неуказанные предельные отк</w:t>
      </w:r>
      <w:r>
        <w:rPr>
          <w:rFonts w:ascii="Times New Roman" w:hAnsi="Times New Roman"/>
          <w:color w:val="auto"/>
          <w:sz w:val="24"/>
          <w:szCs w:val="24"/>
        </w:rPr>
        <w:t xml:space="preserve">лонения назначаются либо по квалитетам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12…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 xml:space="preserve">17, либо по специально установленным классам точности. Допуски по классам точности обозначают буквой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t</w:t>
      </w:r>
      <w:r>
        <w:rPr>
          <w:rFonts w:ascii="Times New Roman" w:hAnsi="Times New Roman"/>
          <w:color w:val="auto"/>
          <w:sz w:val="24"/>
          <w:szCs w:val="24"/>
        </w:rPr>
        <w:t xml:space="preserve"> с индексом: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t</w:t>
      </w:r>
      <w:r>
        <w:rPr>
          <w:rFonts w:ascii="Times New Roman" w:hAnsi="Times New Roman"/>
          <w:color w:val="auto"/>
          <w:sz w:val="24"/>
          <w:szCs w:val="24"/>
        </w:rPr>
        <w:t xml:space="preserve">1-точный класс (12-й квалитет);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t</w:t>
      </w:r>
      <w:r>
        <w:rPr>
          <w:rFonts w:ascii="Times New Roman" w:hAnsi="Times New Roman"/>
          <w:color w:val="auto"/>
          <w:sz w:val="24"/>
          <w:szCs w:val="24"/>
        </w:rPr>
        <w:t xml:space="preserve">2-средний (14-й квалитет);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t</w:t>
      </w:r>
      <w:r>
        <w:rPr>
          <w:rFonts w:ascii="Times New Roman" w:hAnsi="Times New Roman"/>
          <w:color w:val="auto"/>
          <w:sz w:val="24"/>
          <w:szCs w:val="24"/>
        </w:rPr>
        <w:t xml:space="preserve">3-грубый (16-й квалитет);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t</w:t>
      </w:r>
      <w:r>
        <w:rPr>
          <w:rFonts w:ascii="Times New Roman" w:hAnsi="Times New Roman"/>
          <w:color w:val="auto"/>
          <w:sz w:val="24"/>
          <w:szCs w:val="24"/>
        </w:rPr>
        <w:t>4-очен</w:t>
      </w:r>
      <w:r>
        <w:rPr>
          <w:rFonts w:ascii="Times New Roman" w:hAnsi="Times New Roman"/>
          <w:color w:val="auto"/>
          <w:sz w:val="24"/>
          <w:szCs w:val="24"/>
        </w:rPr>
        <w:t>ь грубый (17-й квалитет).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Неуказанные предельные отклонения и для валов и для отверстий назначаются в «тело» материала.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Для размеров элементов, не относящихся к валам и отверстиям, назначаются только симметричные неуказанные предельные отклонения, например</w:t>
      </w:r>
      <w:r>
        <w:rPr>
          <w:rFonts w:ascii="Times New Roman" w:hAnsi="Times New Roman"/>
          <w:color w:val="auto"/>
          <w:sz w:val="24"/>
          <w:szCs w:val="24"/>
        </w:rPr>
        <w:t xml:space="preserve"> ±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color w:val="auto"/>
          <w:sz w:val="24"/>
          <w:szCs w:val="24"/>
        </w:rPr>
        <w:t>14/2.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7.ДОПУСКИ И ПОСАДКИ ДЕТАЛЕЙ ИЗ ПЛАСТМАСС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Детали из пластмасс нашли широкое применение в конструкциях РЭА. Специфика пластмасс как конструкционных материалов потребовала разработки системы допусков и посадок для деталей из этих материалов. Особенн</w:t>
      </w:r>
      <w:r>
        <w:rPr>
          <w:rFonts w:ascii="Times New Roman" w:hAnsi="Times New Roman"/>
          <w:color w:val="auto"/>
          <w:sz w:val="24"/>
          <w:szCs w:val="24"/>
        </w:rPr>
        <w:t>ости пластмасс обусловлены их физико-механическими свойствами: модуль упругости в 100 и более раз ниже, чем у металлов; ТКЛР в 5юю10 раз выше ТКЛР металлов; высокая гигроскопичность; усадка при изготовлении деталей. Эти особенности, а также возможности тех</w:t>
      </w:r>
      <w:r>
        <w:rPr>
          <w:rFonts w:ascii="Times New Roman" w:hAnsi="Times New Roman"/>
          <w:color w:val="auto"/>
          <w:sz w:val="24"/>
          <w:szCs w:val="24"/>
        </w:rPr>
        <w:t>нологии не позволяют изготавливать детали из пластмасс с допусками на размеры точнее 8-го квалитета.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На основе положений ЕСКД разработан ГОСТ 25349-82 «Поля допусков деталей из пластмасс», в котором приводятся поля допусков деталей из пластмасс и посадок в</w:t>
      </w:r>
      <w:r>
        <w:rPr>
          <w:rFonts w:ascii="Times New Roman" w:hAnsi="Times New Roman"/>
          <w:color w:val="auto"/>
          <w:sz w:val="24"/>
          <w:szCs w:val="24"/>
        </w:rPr>
        <w:t xml:space="preserve"> соединениях деталей из пластмасс и металла.</w:t>
      </w:r>
    </w:p>
    <w:p w:rsidR="00000000" w:rsidRDefault="003D36E8">
      <w:pPr>
        <w:ind w:left="-540" w:firstLine="90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8. ЗАДАНИЕ НА ВЫПОЛНЕНИЕ РАБОТЫ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Для указанных в таблице наиболее распространенных посадок необходимо: определить предельные зазоры и натяги; найти допуск посадки; построить схему расположения полей допусков отве</w:t>
      </w:r>
      <w:r>
        <w:rPr>
          <w:rFonts w:ascii="Times New Roman" w:hAnsi="Times New Roman"/>
          <w:color w:val="auto"/>
          <w:sz w:val="24"/>
          <w:szCs w:val="24"/>
        </w:rPr>
        <w:t>рстия и вала; показать обозначение допсков и посадок на чертежах деталей и соединения.</w:t>
      </w:r>
    </w:p>
    <w:p w:rsidR="00000000" w:rsidRDefault="003D36E8">
      <w:pPr>
        <w:ind w:left="-540" w:firstLine="90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tbl>
      <w:tblPr>
        <w:tblW w:w="9788" w:type="dxa"/>
        <w:tblInd w:w="-432" w:type="dxa"/>
        <w:tblLook w:val="0000"/>
      </w:tblPr>
      <w:tblGrid>
        <w:gridCol w:w="1092"/>
        <w:gridCol w:w="1092"/>
        <w:gridCol w:w="1092"/>
        <w:gridCol w:w="1072"/>
        <w:gridCol w:w="1092"/>
        <w:gridCol w:w="1092"/>
        <w:gridCol w:w="1092"/>
        <w:gridCol w:w="1092"/>
        <w:gridCol w:w="1072"/>
      </w:tblGrid>
      <w:tr w:rsidR="00000000">
        <w:trPr>
          <w:trHeight w:val="354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Вариант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3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4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5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6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8</w:t>
            </w:r>
          </w:p>
        </w:tc>
      </w:tr>
      <w:tr w:rsidR="00000000">
        <w:trPr>
          <w:trHeight w:val="547"/>
        </w:trPr>
        <w:tc>
          <w:tcPr>
            <w:tcW w:w="109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Тип посадки</w:t>
            </w:r>
          </w:p>
        </w:tc>
        <w:tc>
          <w:tcPr>
            <w:tcW w:w="10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60" w:dyaOrig="620">
                <v:shape id="_x0000_i1035" type="#_x0000_t75" style="width:33pt;height:30.75pt" o:ole="">
                  <v:imagedata r:id="rId26" o:title=""/>
                </v:shape>
                <o:OLEObject Type="Embed" ProgID="Equation.3" ShapeID="_x0000_i1035" DrawAspect="Content" ObjectID="_1553111824" r:id="rId27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80" w:dyaOrig="620">
                <v:shape id="_x0000_i1036" type="#_x0000_t75" style="width:33.75pt;height:30.75pt" o:ole="">
                  <v:imagedata r:id="rId28" o:title=""/>
                </v:shape>
                <o:OLEObject Type="Embed" ProgID="Equation.3" ShapeID="_x0000_i1036" DrawAspect="Content" ObjectID="_1553111825" r:id="rId29"/>
              </w:object>
            </w:r>
          </w:p>
        </w:tc>
        <w:tc>
          <w:tcPr>
            <w:tcW w:w="10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39" w:dyaOrig="620">
                <v:shape id="_x0000_i1037" type="#_x0000_t75" style="width:32.25pt;height:30.75pt" o:ole="">
                  <v:imagedata r:id="rId30" o:title=""/>
                </v:shape>
                <o:OLEObject Type="Embed" ProgID="Equation.3" ShapeID="_x0000_i1037" DrawAspect="Content" ObjectID="_1553111826" r:id="rId31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20" w:dyaOrig="620">
                <v:shape id="_x0000_i1038" type="#_x0000_t75" style="width:30.75pt;height:30.75pt" o:ole="">
                  <v:imagedata r:id="rId32" o:title=""/>
                </v:shape>
                <o:OLEObject Type="Embed" ProgID="Equation.3" ShapeID="_x0000_i1038" DrawAspect="Content" ObjectID="_1553111827" r:id="rId33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60" w:dyaOrig="620">
                <v:shape id="_x0000_i1039" type="#_x0000_t75" style="width:33pt;height:30.75pt" o:ole="">
                  <v:imagedata r:id="rId34" o:title=""/>
                </v:shape>
                <o:OLEObject Type="Embed" ProgID="Equation.3" ShapeID="_x0000_i1039" DrawAspect="Content" ObjectID="_1553111828" r:id="rId35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8"/>
                <w:sz w:val="28"/>
                <w:szCs w:val="28"/>
              </w:rPr>
              <w:object w:dxaOrig="680" w:dyaOrig="660">
                <v:shape id="_x0000_i1040" type="#_x0000_t75" style="width:33.75pt;height:33pt" o:ole="">
                  <v:imagedata r:id="rId36" o:title=""/>
                </v:shape>
                <o:OLEObject Type="Embed" ProgID="Equation.3" ShapeID="_x0000_i1040" DrawAspect="Content" ObjectID="_1553111829" r:id="rId37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80" w:dyaOrig="620">
                <v:shape id="_x0000_i1041" type="#_x0000_t75" style="width:33.75pt;height:30.75pt" o:ole="">
                  <v:imagedata r:id="rId38" o:title=""/>
                </v:shape>
                <o:OLEObject Type="Embed" ProgID="Equation.3" ShapeID="_x0000_i1041" DrawAspect="Content" ObjectID="_1553111830" r:id="rId39"/>
              </w:object>
            </w:r>
          </w:p>
        </w:tc>
        <w:tc>
          <w:tcPr>
            <w:tcW w:w="10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60" w:dyaOrig="620">
                <v:shape id="_x0000_i1042" type="#_x0000_t75" style="width:33pt;height:30.75pt" o:ole="">
                  <v:imagedata r:id="rId40" o:title=""/>
                </v:shape>
                <o:OLEObject Type="Embed" ProgID="Equation.3" ShapeID="_x0000_i1042" DrawAspect="Content" ObjectID="_1553111831" r:id="rId41"/>
              </w:object>
            </w: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</w:p>
        </w:tc>
      </w:tr>
      <w:tr w:rsidR="00000000">
        <w:trPr>
          <w:trHeight w:val="354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10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12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13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14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15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17</w:t>
            </w:r>
          </w:p>
        </w:tc>
      </w:tr>
      <w:tr w:rsidR="00000000">
        <w:trPr>
          <w:trHeight w:val="547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80" w:dyaOrig="620">
                <v:shape id="_x0000_i1043" type="#_x0000_t75" style="width:33.75pt;height:30.75pt" o:ole="">
                  <v:imagedata r:id="rId42" o:title=""/>
                </v:shape>
                <o:OLEObject Type="Embed" ProgID="Equation.3" ShapeID="_x0000_i1043" DrawAspect="Content" ObjectID="_1553111832" r:id="rId43"/>
              </w:object>
            </w: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80" w:dyaOrig="620">
                <v:shape id="_x0000_i1044" type="#_x0000_t75" style="width:33.75pt;height:30.75pt" o:ole="">
                  <v:imagedata r:id="rId44" o:title=""/>
                </v:shape>
                <o:OLEObject Type="Embed" ProgID="Equation.3" ShapeID="_x0000_i1044" DrawAspect="Content" ObjectID="_1553111833" r:id="rId45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80" w:dyaOrig="620">
                <v:shape id="_x0000_i1045" type="#_x0000_t75" style="width:33.75pt;height:30.75pt" o:ole="">
                  <v:imagedata r:id="rId46" o:title=""/>
                </v:shape>
                <o:OLEObject Type="Embed" ProgID="Equation.3" ShapeID="_x0000_i1045" DrawAspect="Content" ObjectID="_1553111834" r:id="rId47"/>
              </w:objec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8"/>
                <w:sz w:val="28"/>
                <w:szCs w:val="28"/>
              </w:rPr>
              <w:object w:dxaOrig="660" w:dyaOrig="660">
                <v:shape id="_x0000_i1046" type="#_x0000_t75" style="width:33pt;height:33pt" o:ole="">
                  <v:imagedata r:id="rId48" o:title=""/>
                </v:shape>
                <o:OLEObject Type="Embed" ProgID="Equation.3" ShapeID="_x0000_i1046" DrawAspect="Content" ObjectID="_1553111835" r:id="rId49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80" w:dyaOrig="620">
                <v:shape id="_x0000_i1047" type="#_x0000_t75" style="width:33.75pt;height:30.75pt" o:ole="">
                  <v:imagedata r:id="rId50" o:title=""/>
                </v:shape>
                <o:OLEObject Type="Embed" ProgID="Equation.3" ShapeID="_x0000_i1047" DrawAspect="Content" ObjectID="_1553111836" r:id="rId51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8"/>
                <w:sz w:val="28"/>
                <w:szCs w:val="28"/>
              </w:rPr>
              <w:object w:dxaOrig="680" w:dyaOrig="660">
                <v:shape id="_x0000_i1048" type="#_x0000_t75" style="width:33.75pt;height:33pt" o:ole="">
                  <v:imagedata r:id="rId52" o:title=""/>
                </v:shape>
                <o:OLEObject Type="Embed" ProgID="Equation.3" ShapeID="_x0000_i1048" DrawAspect="Content" ObjectID="_1553111837" r:id="rId53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39" w:dyaOrig="620">
                <v:shape id="_x0000_i1049" type="#_x0000_t75" style="width:32.25pt;height:30.75pt" o:ole="">
                  <v:imagedata r:id="rId54" o:title=""/>
                </v:shape>
                <o:OLEObject Type="Embed" ProgID="Equation.3" ShapeID="_x0000_i1049" DrawAspect="Content" ObjectID="_1553111838" r:id="rId55"/>
              </w:objec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80" w:dyaOrig="620">
                <v:shape id="_x0000_i1050" type="#_x0000_t75" style="width:33.75pt;height:30.75pt" o:ole="">
                  <v:imagedata r:id="rId56" o:title=""/>
                </v:shape>
                <o:OLEObject Type="Embed" ProgID="Equation.3" ShapeID="_x0000_i1050" DrawAspect="Content" ObjectID="_1553111839" r:id="rId57"/>
              </w:objec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ø</w:t>
            </w:r>
            <w:r>
              <w:rPr>
                <w:rFonts w:ascii="Times New Roman" w:hAnsi="Times New Roman"/>
                <w:color w:val="auto"/>
                <w:position w:val="-24"/>
                <w:sz w:val="28"/>
                <w:szCs w:val="28"/>
              </w:rPr>
              <w:object w:dxaOrig="660" w:dyaOrig="620">
                <v:shape id="_x0000_i1051" type="#_x0000_t75" style="width:33pt;height:30.75pt" o:ole="">
                  <v:imagedata r:id="rId58" o:title=""/>
                </v:shape>
                <o:OLEObject Type="Embed" ProgID="Equation.3" ShapeID="_x0000_i1051" DrawAspect="Content" ObjectID="_1553111840" r:id="rId59"/>
              </w:object>
            </w:r>
            <w:r>
              <w:rPr>
                <w:rFonts w:ascii="Arial CYR" w:hAnsi="Arial CYR"/>
                <w:color w:val="auto"/>
                <w:sz w:val="20"/>
                <w:szCs w:val="20"/>
              </w:rPr>
              <w:t> </w:t>
            </w:r>
          </w:p>
        </w:tc>
      </w:tr>
    </w:tbl>
    <w:p w:rsidR="00000000" w:rsidRDefault="003D36E8">
      <w:pPr>
        <w:ind w:left="-540" w:firstLine="90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br w:type="page"/>
      </w:r>
      <w:r>
        <w:rPr>
          <w:rFonts w:ascii="Times New Roman" w:hAnsi="Times New Roman"/>
          <w:b/>
          <w:color w:val="auto"/>
          <w:sz w:val="24"/>
          <w:szCs w:val="24"/>
        </w:rPr>
        <w:t>БИБЛИОГРАФИЧЕСКИЙ СПИСОК</w:t>
      </w:r>
    </w:p>
    <w:p w:rsidR="00000000" w:rsidRDefault="003D36E8">
      <w:pPr>
        <w:numPr>
          <w:ilvl w:val="0"/>
          <w:numId w:val="3"/>
        </w:num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aps/>
          <w:color w:val="auto"/>
          <w:sz w:val="24"/>
          <w:szCs w:val="24"/>
        </w:rPr>
        <w:t>гост</w:t>
      </w:r>
      <w:r>
        <w:rPr>
          <w:rFonts w:ascii="Times New Roman" w:hAnsi="Times New Roman"/>
          <w:color w:val="auto"/>
          <w:sz w:val="24"/>
          <w:szCs w:val="24"/>
        </w:rPr>
        <w:t xml:space="preserve"> 25346-82 </w:t>
      </w:r>
      <w:r>
        <w:rPr>
          <w:rFonts w:ascii="Times New Roman" w:hAnsi="Times New Roman"/>
          <w:caps/>
          <w:color w:val="auto"/>
          <w:sz w:val="24"/>
          <w:szCs w:val="24"/>
        </w:rPr>
        <w:t>есдп</w:t>
      </w:r>
      <w:r>
        <w:rPr>
          <w:rFonts w:ascii="Times New Roman" w:hAnsi="Times New Roman"/>
          <w:color w:val="auto"/>
          <w:sz w:val="24"/>
          <w:szCs w:val="24"/>
        </w:rPr>
        <w:t>. Общие положения, ряды допусков и основных отклонений.</w:t>
      </w:r>
    </w:p>
    <w:p w:rsidR="00000000" w:rsidRDefault="003D36E8">
      <w:pPr>
        <w:numPr>
          <w:ilvl w:val="0"/>
          <w:numId w:val="3"/>
        </w:num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ГОСТ 25347-82 ЕСДП. Поля допусков и рекомендуемые посадки.</w:t>
      </w:r>
    </w:p>
    <w:p w:rsidR="00000000" w:rsidRDefault="003D36E8">
      <w:pPr>
        <w:numPr>
          <w:ilvl w:val="0"/>
          <w:numId w:val="3"/>
        </w:num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Якушев А.И. и др. Взаимозаменяемость, стандартизация и технические измерения. М.:Машиностроение,19</w:t>
      </w:r>
      <w:r>
        <w:rPr>
          <w:rFonts w:ascii="Times New Roman" w:hAnsi="Times New Roman"/>
          <w:color w:val="auto"/>
          <w:sz w:val="24"/>
          <w:szCs w:val="24"/>
        </w:rPr>
        <w:t>86. 352с.</w:t>
      </w:r>
    </w:p>
    <w:p w:rsidR="00000000" w:rsidRDefault="003D36E8">
      <w:pPr>
        <w:numPr>
          <w:ilvl w:val="0"/>
          <w:numId w:val="3"/>
        </w:num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Белкин И.М. Допуски и посадки. М.:Машиностроение, 1992, 528с.</w:t>
      </w:r>
    </w:p>
    <w:p w:rsidR="00000000" w:rsidRDefault="003D36E8">
      <w:pPr>
        <w:numPr>
          <w:ilvl w:val="0"/>
          <w:numId w:val="3"/>
        </w:numPr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Контсруирование механизмов радиоэлектронных средств. Метод. указ. к лаборат. работам / И.А.Миннигулов, В.П.Румянцев, В.П.Мухин. Рязань:РРТИ, 1983, 16с.</w:t>
      </w:r>
    </w:p>
    <w:p w:rsidR="00000000" w:rsidRDefault="003D36E8">
      <w:pPr>
        <w:ind w:left="36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00000" w:rsidRDefault="003D36E8">
      <w:pPr>
        <w:ind w:left="-540" w:firstLine="90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ind w:left="36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br w:type="page"/>
        <w:t>ПРИЛОЖЕНИЕ</w:t>
      </w:r>
    </w:p>
    <w:p w:rsidR="00000000" w:rsidRDefault="003D36E8">
      <w:pPr>
        <w:ind w:left="360"/>
        <w:jc w:val="right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Таблица П1</w:t>
      </w:r>
    </w:p>
    <w:p w:rsidR="00000000" w:rsidRDefault="003D36E8">
      <w:pPr>
        <w:ind w:left="36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Значени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е допусков </w:t>
      </w:r>
      <w:r>
        <w:rPr>
          <w:rFonts w:ascii="Times New Roman" w:hAnsi="Times New Roman"/>
          <w:b/>
          <w:color w:val="auto"/>
          <w:sz w:val="24"/>
          <w:szCs w:val="24"/>
          <w:lang w:val="en-US"/>
        </w:rPr>
        <w:t>IT</w:t>
      </w:r>
      <w:r>
        <w:rPr>
          <w:rFonts w:ascii="Times New Roman" w:hAnsi="Times New Roman"/>
          <w:b/>
          <w:color w:val="auto"/>
          <w:sz w:val="24"/>
          <w:szCs w:val="24"/>
        </w:rPr>
        <w:t>, мкм</w:t>
      </w:r>
    </w:p>
    <w:p w:rsidR="00000000" w:rsidRDefault="003D36E8">
      <w:pPr>
        <w:ind w:left="360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tbl>
      <w:tblPr>
        <w:tblW w:w="8100" w:type="dxa"/>
        <w:tblInd w:w="468" w:type="dxa"/>
        <w:tblLook w:val="0000"/>
      </w:tblPr>
      <w:tblGrid>
        <w:gridCol w:w="1660"/>
        <w:gridCol w:w="1071"/>
        <w:gridCol w:w="877"/>
        <w:gridCol w:w="877"/>
        <w:gridCol w:w="877"/>
        <w:gridCol w:w="877"/>
        <w:gridCol w:w="877"/>
        <w:gridCol w:w="984"/>
      </w:tblGrid>
      <w:tr w:rsidR="00000000">
        <w:trPr>
          <w:cantSplit/>
          <w:trHeight w:val="300"/>
        </w:trPr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Для интервалов размеров, мм</w:t>
            </w:r>
          </w:p>
        </w:tc>
        <w:tc>
          <w:tcPr>
            <w:tcW w:w="644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Квалитеты</w:t>
            </w:r>
          </w:p>
        </w:tc>
      </w:tr>
      <w:tr w:rsidR="00000000">
        <w:trPr>
          <w:cantSplit/>
          <w:trHeight w:val="345"/>
        </w:trPr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9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До 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25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ind w:left="-453" w:firstLine="453"/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Св. 3 до 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2,5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30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6   "  10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2,5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36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10 "  18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43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18 "  30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52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30 "  50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62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50 "  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74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80 " 120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87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120 " 180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100</w:t>
            </w:r>
          </w:p>
        </w:tc>
      </w:tr>
      <w:tr w:rsidR="00000000">
        <w:trPr>
          <w:trHeight w:val="25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180 " 250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115</w:t>
            </w:r>
          </w:p>
        </w:tc>
      </w:tr>
      <w:tr w:rsidR="00000000">
        <w:trPr>
          <w:trHeight w:val="27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250 " 315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130</w:t>
            </w:r>
          </w:p>
        </w:tc>
      </w:tr>
    </w:tbl>
    <w:p w:rsidR="00000000" w:rsidRDefault="003D36E8">
      <w:pPr>
        <w:ind w:left="36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ind w:left="36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tbl>
      <w:tblPr>
        <w:tblW w:w="8100" w:type="dxa"/>
        <w:tblInd w:w="468" w:type="dxa"/>
        <w:tblLayout w:type="fixed"/>
        <w:tblLook w:val="0000"/>
      </w:tblPr>
      <w:tblGrid>
        <w:gridCol w:w="1620"/>
        <w:gridCol w:w="1080"/>
        <w:gridCol w:w="900"/>
        <w:gridCol w:w="900"/>
        <w:gridCol w:w="900"/>
        <w:gridCol w:w="900"/>
        <w:gridCol w:w="900"/>
        <w:gridCol w:w="900"/>
      </w:tblGrid>
      <w:tr w:rsidR="00000000">
        <w:trPr>
          <w:cantSplit/>
          <w:trHeight w:val="27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Интервалыразмеров, мм</w:t>
            </w:r>
          </w:p>
        </w:tc>
        <w:tc>
          <w:tcPr>
            <w:tcW w:w="648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Квалитеты</w:t>
            </w:r>
          </w:p>
        </w:tc>
      </w:tr>
      <w:tr w:rsidR="00000000">
        <w:trPr>
          <w:cantSplit/>
          <w:trHeight w:val="270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16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До 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600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Св. 3 до 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750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6   "  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900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10 "  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1100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18 "  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1300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30 " 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1600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50 "  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46</w:t>
            </w: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1900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80 " 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2200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120 " 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1600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2500</w:t>
            </w:r>
          </w:p>
        </w:tc>
      </w:tr>
      <w:tr w:rsidR="00000000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180 " 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1850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2900</w:t>
            </w:r>
          </w:p>
        </w:tc>
      </w:tr>
      <w:tr w:rsidR="00000000">
        <w:trPr>
          <w:trHeight w:val="27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250 " 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1300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3200</w:t>
            </w:r>
          </w:p>
        </w:tc>
      </w:tr>
    </w:tbl>
    <w:p w:rsidR="00000000" w:rsidRDefault="003D36E8">
      <w:pPr>
        <w:ind w:left="36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ind w:left="360"/>
        <w:jc w:val="right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br w:type="page"/>
        <w:t>Таблица П2</w:t>
      </w:r>
    </w:p>
    <w:p w:rsidR="00000000" w:rsidRDefault="003D36E8">
      <w:pPr>
        <w:ind w:left="36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Значение основных отклонений ваов и отверстий,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 мкм</w:t>
      </w:r>
    </w:p>
    <w:p w:rsidR="00000000" w:rsidRDefault="003D36E8">
      <w:pPr>
        <w:ind w:left="360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tbl>
      <w:tblPr>
        <w:tblW w:w="9039" w:type="dxa"/>
        <w:tblInd w:w="468" w:type="dxa"/>
        <w:tblLook w:val="0000"/>
      </w:tblPr>
      <w:tblGrid>
        <w:gridCol w:w="1595"/>
        <w:gridCol w:w="1315"/>
        <w:gridCol w:w="1315"/>
        <w:gridCol w:w="1315"/>
        <w:gridCol w:w="914"/>
        <w:gridCol w:w="914"/>
        <w:gridCol w:w="632"/>
        <w:gridCol w:w="1039"/>
      </w:tblGrid>
      <w:tr w:rsidR="00000000">
        <w:trPr>
          <w:cantSplit/>
          <w:trHeight w:val="276"/>
        </w:trPr>
        <w:tc>
          <w:tcPr>
            <w:tcW w:w="1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ind w:left="267" w:hanging="267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Интервалы</w:t>
            </w:r>
          </w:p>
        </w:tc>
        <w:tc>
          <w:tcPr>
            <w:tcW w:w="744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Верхнее отклонение вала-es для всех квалитетов</w:t>
            </w:r>
          </w:p>
        </w:tc>
      </w:tr>
      <w:tr w:rsidR="00000000">
        <w:trPr>
          <w:cantSplit/>
          <w:trHeight w:val="276"/>
        </w:trPr>
        <w:tc>
          <w:tcPr>
            <w:tcW w:w="159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c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d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e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f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g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h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js</w:t>
            </w: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До 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textDirection w:val="btLr"/>
            <w:vAlign w:val="center"/>
          </w:tcPr>
          <w:p w:rsidR="00000000" w:rsidRDefault="003D36E8">
            <w:pPr>
              <w:jc w:val="center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Предельное отклонение ±0,5IT</w:t>
            </w: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Св. 3 до 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 6  "   10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10 "   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95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18 "   30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110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30 "   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25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9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40 "   50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130</w:t>
            </w: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50 "   65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60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65 "   80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150</w:t>
            </w: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 80 "   100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170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72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36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12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100 "  120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180</w:t>
            </w: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120 "  140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200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145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85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43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14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140 "  160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210</w:t>
            </w: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160 "  180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</w:t>
            </w: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30</w:t>
            </w: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180 "  200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240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170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100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15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200 "  225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260</w:t>
            </w: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225 "  250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280</w:t>
            </w: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61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250 "  280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300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190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110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56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17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0</w:t>
            </w: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76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"  280 "  315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jc w:val="right"/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330</w:t>
            </w: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</w:p>
        </w:tc>
      </w:tr>
      <w:tr w:rsidR="00000000">
        <w:trPr>
          <w:cantSplit/>
          <w:trHeight w:val="276"/>
        </w:trPr>
        <w:tc>
          <w:tcPr>
            <w:tcW w:w="1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 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C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D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E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F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G</w:t>
            </w:r>
          </w:p>
        </w:tc>
        <w:tc>
          <w:tcPr>
            <w:tcW w:w="6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H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  <w:t>Js</w:t>
            </w:r>
          </w:p>
        </w:tc>
      </w:tr>
      <w:tr w:rsidR="00000000">
        <w:trPr>
          <w:cantSplit/>
          <w:trHeight w:val="276"/>
        </w:trPr>
        <w:tc>
          <w:tcPr>
            <w:tcW w:w="1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744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000000" w:rsidRDefault="003D36E8">
            <w:pPr>
              <w:rPr>
                <w:rFonts w:ascii="Arial CYR" w:hAnsi="Arial CYR" w:cs="Arial CYR"/>
                <w:color w:val="auto"/>
                <w:sz w:val="20"/>
                <w:szCs w:val="20"/>
              </w:rPr>
            </w:pPr>
            <w:r>
              <w:rPr>
                <w:rFonts w:ascii="Arial CYR" w:hAnsi="Arial CYR" w:cs="Arial CYR"/>
                <w:color w:val="auto"/>
                <w:sz w:val="20"/>
                <w:szCs w:val="20"/>
              </w:rPr>
              <w:t>Нижнее отклонение отверстия +EI для всех квалитетов</w:t>
            </w:r>
          </w:p>
        </w:tc>
      </w:tr>
    </w:tbl>
    <w:p w:rsidR="00000000" w:rsidRDefault="003D36E8">
      <w:pPr>
        <w:ind w:left="36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ind w:left="36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00000" w:rsidRDefault="003D36E8">
      <w:pPr>
        <w:ind w:left="36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3D36E8" w:rsidRDefault="003D36E8">
      <w:pPr>
        <w:ind w:left="360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Доцент каф. УКС                                          В.И. Ульянов</w:t>
      </w:r>
    </w:p>
    <w:sectPr w:rsidR="003D3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F13A1"/>
    <w:multiLevelType w:val="multilevel"/>
    <w:tmpl w:val="1AFA3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69A76DAE"/>
    <w:multiLevelType w:val="hybridMultilevel"/>
    <w:tmpl w:val="FB989E72"/>
    <w:lvl w:ilvl="0" w:tplc="79788994">
      <w:start w:val="1"/>
      <w:numFmt w:val="decimal"/>
      <w:lvlText w:val="%1)"/>
      <w:lvlJc w:val="left"/>
      <w:pPr>
        <w:tabs>
          <w:tab w:val="num" w:pos="1545"/>
        </w:tabs>
        <w:ind w:left="154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F8217D"/>
    <w:multiLevelType w:val="hybridMultilevel"/>
    <w:tmpl w:val="EA28A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noPunctuationKerning/>
  <w:characterSpacingControl w:val="doNotCompress"/>
  <w:compat/>
  <w:rsids>
    <w:rsidRoot w:val="006B609A"/>
    <w:rsid w:val="003D36E8"/>
    <w:rsid w:val="006B6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Verdana" w:hAnsi="Verdana"/>
      <w:color w:val="FF0000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6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8.w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8" Type="http://schemas.openxmlformats.org/officeDocument/2006/relationships/image" Target="media/image3.emf"/><Relationship Id="rId51" Type="http://schemas.openxmlformats.org/officeDocument/2006/relationships/oleObject" Target="embeddings/oleObject23.bin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3152</Words>
  <Characters>17971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</vt:lpstr>
    </vt:vector>
  </TitlesOfParts>
  <Company>Microsoft</Company>
  <LinksUpToDate>false</LinksUpToDate>
  <CharactersWithSpaces>21081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</dc:title>
  <dc:creator>Anna</dc:creator>
  <cp:lastModifiedBy>larm</cp:lastModifiedBy>
  <cp:revision>2</cp:revision>
  <dcterms:created xsi:type="dcterms:W3CDTF">2017-04-07T20:10:00Z</dcterms:created>
  <dcterms:modified xsi:type="dcterms:W3CDTF">2017-04-07T20:10:00Z</dcterms:modified>
</cp:coreProperties>
</file>