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DD" w:rsidRPr="004318DD" w:rsidRDefault="004318DD" w:rsidP="004318DD">
      <w:pPr>
        <w:pStyle w:val="1"/>
      </w:pPr>
      <w:bookmarkStart w:id="0" w:name="_Toc363284945"/>
      <w:r>
        <w:rPr>
          <w:bCs/>
        </w:rPr>
        <w:t>Задача 1</w:t>
      </w:r>
      <w:r>
        <w:rPr>
          <w:bCs/>
        </w:rPr>
        <w:t>.</w:t>
      </w:r>
      <w:r>
        <w:rPr>
          <w:b/>
        </w:rPr>
        <w:br/>
      </w:r>
      <w:r w:rsidRPr="004318DD">
        <w:t>Расчет линейных схем на операционных усилителях</w:t>
      </w:r>
      <w:bookmarkEnd w:id="0"/>
    </w:p>
    <w:p w:rsidR="004318DD" w:rsidRPr="004318DD" w:rsidRDefault="004318DD" w:rsidP="004318DD">
      <w:pPr>
        <w:ind w:firstLine="567"/>
        <w:jc w:val="both"/>
        <w:rPr>
          <w:sz w:val="28"/>
          <w:szCs w:val="28"/>
        </w:rPr>
      </w:pPr>
    </w:p>
    <w:p w:rsidR="004318DD" w:rsidRDefault="004318DD" w:rsidP="004318DD">
      <w:pPr>
        <w:pStyle w:val="a3"/>
        <w:spacing w:line="360" w:lineRule="auto"/>
        <w:ind w:firstLine="709"/>
        <w:rPr>
          <w:sz w:val="28"/>
          <w:szCs w:val="28"/>
        </w:rPr>
      </w:pPr>
      <w:r w:rsidRPr="004318DD">
        <w:rPr>
          <w:sz w:val="28"/>
          <w:szCs w:val="28"/>
        </w:rPr>
        <w:t>Рассчитать с помощью эквивалентной схемы ОУ линейную схему в</w:t>
      </w:r>
      <w:r w:rsidRPr="004318DD">
        <w:rPr>
          <w:sz w:val="28"/>
          <w:szCs w:val="28"/>
        </w:rPr>
        <w:t xml:space="preserve"> соответствии с заданием табл.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709"/>
        <w:gridCol w:w="2131"/>
      </w:tblGrid>
      <w:tr w:rsidR="004318DD" w:rsidTr="004318DD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8DD" w:rsidRDefault="004318D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 ОУ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8DD" w:rsidRDefault="004318D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 линейной схемы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8DD" w:rsidRDefault="004318DD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7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" o:ole="">
                  <v:imagedata r:id="rId5" o:title=""/>
                </v:shape>
                <o:OLEObject Type="Embed" ProgID="Equation.3" ShapeID="_x0000_i1025" DrawAspect="Content" ObjectID="_1553965094" r:id="rId6"/>
              </w:objec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8DD" w:rsidRDefault="004318D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Полярность ист. </w:t>
            </w:r>
            <w:proofErr w:type="gramStart"/>
            <w:r>
              <w:rPr>
                <w:sz w:val="28"/>
              </w:rPr>
              <w:t>пит</w:t>
            </w:r>
            <w:proofErr w:type="gramEnd"/>
            <w:r>
              <w:rPr>
                <w:sz w:val="28"/>
              </w:rPr>
              <w:t>. ОУ</w:t>
            </w:r>
          </w:p>
        </w:tc>
      </w:tr>
      <w:tr w:rsidR="004318DD" w:rsidTr="004318DD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8DD" w:rsidRDefault="004318D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К140УД11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8DD" w:rsidRDefault="004318DD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инверт</w:t>
            </w:r>
            <w:proofErr w:type="spellEnd"/>
            <w:r>
              <w:rPr>
                <w:sz w:val="28"/>
              </w:rPr>
              <w:t>. УПТ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8DD" w:rsidRDefault="004318D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8DD" w:rsidRDefault="004318D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Определить передаточную функцию схемы </w:t>
      </w:r>
      <w:r>
        <w:rPr>
          <w:position w:val="-12"/>
          <w:sz w:val="28"/>
        </w:rPr>
        <w:object w:dxaOrig="735" w:dyaOrig="360">
          <v:shape id="_x0000_i1026" type="#_x0000_t75" style="width:36.75pt;height:18pt" o:ole="">
            <v:imagedata r:id="rId7" o:title=""/>
          </v:shape>
          <o:OLEObject Type="Embed" ProgID="Equation.3" ShapeID="_x0000_i1026" DrawAspect="Content" ObjectID="_1553965095" r:id="rId8"/>
        </w:object>
      </w:r>
      <w:r>
        <w:rPr>
          <w:sz w:val="28"/>
        </w:rPr>
        <w:t xml:space="preserve">, рассчитать и построить логарифмические амплитудно-частотную и </w:t>
      </w:r>
      <w:proofErr w:type="spellStart"/>
      <w:r>
        <w:rPr>
          <w:sz w:val="28"/>
        </w:rPr>
        <w:t>фазочастотную</w:t>
      </w:r>
      <w:proofErr w:type="spellEnd"/>
      <w:r>
        <w:rPr>
          <w:sz w:val="28"/>
        </w:rPr>
        <w:t xml:space="preserve"> характеристики схемы, переходную функцию </w:t>
      </w:r>
      <w:r>
        <w:rPr>
          <w:position w:val="-10"/>
          <w:sz w:val="28"/>
        </w:rPr>
        <w:object w:dxaOrig="435" w:dyaOrig="315">
          <v:shape id="_x0000_i1027" type="#_x0000_t75" style="width:21.75pt;height:15.75pt" o:ole="">
            <v:imagedata r:id="rId9" o:title=""/>
          </v:shape>
          <o:OLEObject Type="Embed" ProgID="Equation.3" ShapeID="_x0000_i1027" DrawAspect="Content" ObjectID="_1553965096" r:id="rId10"/>
        </w:object>
      </w:r>
      <w:r>
        <w:rPr>
          <w:sz w:val="28"/>
        </w:rPr>
        <w:t xml:space="preserve"> и амплитудную характеристику </w:t>
      </w:r>
      <w:r>
        <w:rPr>
          <w:position w:val="-12"/>
          <w:sz w:val="28"/>
        </w:rPr>
        <w:object w:dxaOrig="1440" w:dyaOrig="360">
          <v:shape id="_x0000_i1028" type="#_x0000_t75" style="width:1in;height:18pt" o:ole="">
            <v:imagedata r:id="rId11" o:title=""/>
          </v:shape>
          <o:OLEObject Type="Embed" ProgID="Equation.3" ShapeID="_x0000_i1028" DrawAspect="Content" ObjectID="_1553965097" r:id="rId12"/>
        </w:object>
      </w:r>
      <w:r>
        <w:rPr>
          <w:sz w:val="28"/>
        </w:rPr>
        <w:t xml:space="preserve"> усилителя. Оценить величины входного и выходного сопротивлений линейного звена.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расчете учесть инерционность ОУ, конечные значения его коэффициента усиления, входного и выходного сопротивлений.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Найти напряжение ошибки, вызываемое наличием смещения нуля и входными токами, оценить температурный дрейф выходного напряжения, а также погрешность за счет нестабильности источника питания ОУ.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Примечание: 1) для всех вариантов схем рабочий диапазон температур -20</w:t>
      </w:r>
      <w:r>
        <w:rPr>
          <w:sz w:val="28"/>
          <w:vertAlign w:val="superscript"/>
        </w:rPr>
        <w:t>0</w:t>
      </w:r>
      <w:r>
        <w:rPr>
          <w:sz w:val="28"/>
        </w:rPr>
        <w:t>С – +40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С; 2) для всех вариантов схем нестабильность источника питания </w:t>
      </w:r>
      <w:r>
        <w:rPr>
          <w:sz w:val="28"/>
          <w:u w:val="single"/>
        </w:rPr>
        <w:t>+</w:t>
      </w:r>
      <w:r>
        <w:rPr>
          <w:sz w:val="28"/>
        </w:rPr>
        <w:t xml:space="preserve"> 2%; 3) </w:t>
      </w:r>
      <w:r>
        <w:rPr>
          <w:position w:val="-12"/>
          <w:sz w:val="28"/>
        </w:rPr>
        <w:object w:dxaOrig="375" w:dyaOrig="360">
          <v:shape id="_x0000_i1029" type="#_x0000_t75" style="width:18.75pt;height:18pt" o:ole="">
            <v:imagedata r:id="rId13" o:title=""/>
          </v:shape>
          <o:OLEObject Type="Embed" ProgID="Equation.3" ShapeID="_x0000_i1029" DrawAspect="Content" ObjectID="_1553965098" r:id="rId14"/>
        </w:object>
      </w:r>
      <w:r>
        <w:rPr>
          <w:sz w:val="28"/>
        </w:rPr>
        <w:t xml:space="preserve"> – коэффициент усиления схемы в рабочем диапазоне частот </w:t>
      </w:r>
      <w:r>
        <w:rPr>
          <w:position w:val="-14"/>
          <w:sz w:val="28"/>
        </w:rPr>
        <w:object w:dxaOrig="1605" w:dyaOrig="375">
          <v:shape id="_x0000_i1030" type="#_x0000_t75" style="width:80.25pt;height:18.75pt" o:ole="">
            <v:imagedata r:id="rId15" o:title=""/>
          </v:shape>
          <o:OLEObject Type="Embed" ProgID="Equation.3" ShapeID="_x0000_i1030" DrawAspect="Content" ObjectID="_1553965099" r:id="rId16"/>
        </w:object>
      </w:r>
      <w:r>
        <w:rPr>
          <w:sz w:val="28"/>
        </w:rPr>
        <w:t xml:space="preserve">; 4) УПТ – усилитель постоянного тока, для которого </w:t>
      </w:r>
      <w:r>
        <w:rPr>
          <w:position w:val="-14"/>
          <w:sz w:val="28"/>
        </w:rPr>
        <w:object w:dxaOrig="855" w:dyaOrig="375">
          <v:shape id="_x0000_i1031" type="#_x0000_t75" style="width:42.75pt;height:18.75pt" o:ole="">
            <v:imagedata r:id="rId17" o:title=""/>
          </v:shape>
          <o:OLEObject Type="Embed" ProgID="Equation.3" ShapeID="_x0000_i1031" DrawAspect="Content" ObjectID="_1553965100" r:id="rId18"/>
        </w:object>
      </w:r>
      <w:r>
        <w:rPr>
          <w:sz w:val="28"/>
        </w:rPr>
        <w:t xml:space="preserve">; 5)УНЧ – усилитель переменных сигналов, для которого </w:t>
      </w:r>
      <w:r>
        <w:rPr>
          <w:position w:val="-14"/>
          <w:sz w:val="28"/>
        </w:rPr>
        <w:object w:dxaOrig="855" w:dyaOrig="375">
          <v:shape id="_x0000_i1032" type="#_x0000_t75" style="width:42.75pt;height:18.75pt" o:ole="">
            <v:imagedata r:id="rId19" o:title=""/>
          </v:shape>
          <o:OLEObject Type="Embed" ProgID="Equation.3" ShapeID="_x0000_i1032" DrawAspect="Content" ObjectID="_1553965101" r:id="rId20"/>
        </w:object>
      </w:r>
      <w:r>
        <w:rPr>
          <w:sz w:val="28"/>
        </w:rPr>
        <w:t>.</w:t>
      </w:r>
    </w:p>
    <w:p w:rsidR="004318DD" w:rsidRDefault="004318DD" w:rsidP="004318DD">
      <w:pPr>
        <w:spacing w:line="360" w:lineRule="auto"/>
        <w:jc w:val="center"/>
        <w:rPr>
          <w:b/>
          <w:sz w:val="28"/>
        </w:rPr>
      </w:pPr>
    </w:p>
    <w:p w:rsidR="004318DD" w:rsidRPr="004318DD" w:rsidRDefault="004318DD" w:rsidP="004318DD">
      <w:pPr>
        <w:pStyle w:val="7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Toc363284946"/>
      <w:r w:rsidRPr="004318D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Методические указания по решению задачи </w:t>
      </w:r>
      <w:bookmarkEnd w:id="1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1</w:t>
      </w:r>
    </w:p>
    <w:p w:rsidR="004318DD" w:rsidRPr="004318DD" w:rsidRDefault="004318DD" w:rsidP="004318DD">
      <w:pPr>
        <w:spacing w:line="360" w:lineRule="auto"/>
        <w:jc w:val="center"/>
        <w:rPr>
          <w:b/>
          <w:sz w:val="28"/>
          <w:szCs w:val="28"/>
        </w:rPr>
      </w:pPr>
      <w:bookmarkStart w:id="2" w:name="_GoBack"/>
      <w:bookmarkEnd w:id="2"/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В соответствии с заданием составляется линейная схема на ОУ рассматриваемого типа усилителя без указания номиналов пассивных элементов схемы. В схеме предусматриваются как элементы для уменьшения </w:t>
      </w:r>
      <w:r>
        <w:rPr>
          <w:sz w:val="28"/>
        </w:rPr>
        <w:lastRenderedPageBreak/>
        <w:t>статической ошибки ОУ, так и элементы типовой схемы включения заданного ОУ, обеспечивающие балансировку нуля и коррекцию АЧХ.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Для поиска номиналов пассивных элементов схем, обеспечивающих заданный тип АЧХ, используются выражения для коэффициента усиления </w:t>
      </w:r>
      <w:r>
        <w:rPr>
          <w:position w:val="-12"/>
          <w:sz w:val="28"/>
        </w:rPr>
        <w:object w:dxaOrig="375" w:dyaOrig="360">
          <v:shape id="_x0000_i1033" type="#_x0000_t75" style="width:18.75pt;height:18pt" o:ole="">
            <v:imagedata r:id="rId13" o:title=""/>
          </v:shape>
          <o:OLEObject Type="Embed" ProgID="Equation.3" ShapeID="_x0000_i1033" DrawAspect="Content" ObjectID="_1553965102" r:id="rId21"/>
        </w:object>
      </w:r>
      <w:r>
        <w:rPr>
          <w:sz w:val="28"/>
        </w:rPr>
        <w:t xml:space="preserve"> и </w:t>
      </w:r>
      <w:r>
        <w:rPr>
          <w:position w:val="-14"/>
          <w:sz w:val="28"/>
        </w:rPr>
        <w:object w:dxaOrig="465" w:dyaOrig="375">
          <v:shape id="_x0000_i1034" type="#_x0000_t75" style="width:23.25pt;height:18.75pt" o:ole="">
            <v:imagedata r:id="rId22" o:title=""/>
          </v:shape>
          <o:OLEObject Type="Embed" ProgID="Equation.3" ShapeID="_x0000_i1034" DrawAspect="Content" ObjectID="_1553965103" r:id="rId23"/>
        </w:object>
      </w:r>
      <w:r>
        <w:rPr>
          <w:sz w:val="28"/>
        </w:rPr>
        <w:t xml:space="preserve">, полученные для идеализированных схем, в которых ОУ считается идеальным и имеет </w:t>
      </w:r>
      <w:r>
        <w:rPr>
          <w:position w:val="-14"/>
          <w:sz w:val="28"/>
        </w:rPr>
        <w:object w:dxaOrig="3735" w:dyaOrig="375">
          <v:shape id="_x0000_i1035" type="#_x0000_t75" style="width:186.75pt;height:18.75pt" o:ole="">
            <v:imagedata r:id="rId24" o:title=""/>
          </v:shape>
          <o:OLEObject Type="Embed" ProgID="Equation.3" ShapeID="_x0000_i1035" DrawAspect="Content" ObjectID="_1553965104" r:id="rId25"/>
        </w:object>
      </w:r>
      <w:r>
        <w:rPr>
          <w:sz w:val="28"/>
        </w:rPr>
        <w:t>. Определение номиналов элементов, обеспечивающих снижение статической ошибки ОУ, и элементов цепи питания ОУ при однополярном питании производится с учетом уже выбранных элементов линейных схем и требований к ОУ.</w:t>
      </w:r>
      <w:proofErr w:type="gramEnd"/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Для найденных в п. 2 номиналов пассивных элементов выбираются ближайшие значения из стандартных </w:t>
      </w:r>
      <w:proofErr w:type="gramStart"/>
      <w:r>
        <w:rPr>
          <w:sz w:val="28"/>
        </w:rPr>
        <w:t>рядов</w:t>
      </w:r>
      <w:proofErr w:type="gramEnd"/>
      <w:r>
        <w:rPr>
          <w:sz w:val="28"/>
        </w:rPr>
        <w:t xml:space="preserve"> и составляется итоговая принципиальная схема рассматриваемого усилителя со всеми необходимыми элементами типовой коррекции и балансировки нуля. Принципиальная схема представляется с соблюдением всех необходимых ГОСТов ЕСКД на условные графические и буквенно-цифровые обозначения элементов на схемах. На разработанную схему составляется условное графическое обозначение, пригодное для электрических функциональных схем.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При определении параметров линейной схемы в рабочем диапазоне частот (на средних частотах) с учетом собственных параметров ОУ пользуются приведенными в литературе выражениями для </w:t>
      </w:r>
      <w:r>
        <w:rPr>
          <w:position w:val="-12"/>
          <w:sz w:val="28"/>
        </w:rPr>
        <w:object w:dxaOrig="375" w:dyaOrig="360">
          <v:shape id="_x0000_i1036" type="#_x0000_t75" style="width:18.75pt;height:18pt" o:ole="">
            <v:imagedata r:id="rId13" o:title=""/>
          </v:shape>
          <o:OLEObject Type="Embed" ProgID="Equation.3" ShapeID="_x0000_i1036" DrawAspect="Content" ObjectID="_1553965105" r:id="rId26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360" w:dyaOrig="360">
          <v:shape id="_x0000_i1037" type="#_x0000_t75" style="width:18pt;height:18pt" o:ole="">
            <v:imagedata r:id="rId27" o:title=""/>
          </v:shape>
          <o:OLEObject Type="Embed" ProgID="Equation.3" ShapeID="_x0000_i1037" DrawAspect="Content" ObjectID="_1553965106" r:id="rId28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465" w:dyaOrig="360">
          <v:shape id="_x0000_i1038" type="#_x0000_t75" style="width:23.25pt;height:18pt" o:ole="">
            <v:imagedata r:id="rId29" o:title=""/>
          </v:shape>
          <o:OLEObject Type="Embed" ProgID="Equation.3" ShapeID="_x0000_i1038" DrawAspect="Content" ObjectID="_1553965107" r:id="rId30"/>
        </w:object>
      </w:r>
      <w:r>
        <w:rPr>
          <w:sz w:val="28"/>
        </w:rPr>
        <w:t>, напряжения ошибки и температурного дрейфа выходного напряжения. Оценивается также и величина нестабильности выходного напряжения при заданной нестабильности источника питания.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 xml:space="preserve">В найденное в п. 4 выражение для </w:t>
      </w:r>
      <w:r>
        <w:rPr>
          <w:position w:val="-12"/>
          <w:sz w:val="28"/>
        </w:rPr>
        <w:object w:dxaOrig="375" w:dyaOrig="360">
          <v:shape id="_x0000_i1039" type="#_x0000_t75" style="width:18.75pt;height:18pt" o:ole="">
            <v:imagedata r:id="rId13" o:title=""/>
          </v:shape>
          <o:OLEObject Type="Embed" ProgID="Equation.3" ShapeID="_x0000_i1039" DrawAspect="Content" ObjectID="_1553965108" r:id="rId31"/>
        </w:object>
      </w:r>
      <w:r>
        <w:rPr>
          <w:sz w:val="28"/>
        </w:rPr>
        <w:t>,учитывающее собственные параметры ОУ, подставляется коэффициент передачи ОУ в операторной форме, описывающий ОУ как звено первого порядка</w:t>
      </w:r>
      <w:proofErr w:type="gramEnd"/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object w:dxaOrig="1965" w:dyaOrig="735">
          <v:shape id="_x0000_i1040" type="#_x0000_t75" style="width:98.25pt;height:36.75pt" o:ole="">
            <v:imagedata r:id="rId32" o:title=""/>
          </v:shape>
          <o:OLEObject Type="Embed" ProgID="Equation.3" ShapeID="_x0000_i1040" DrawAspect="Content" ObjectID="_1553965109" r:id="rId33"/>
        </w:object>
      </w:r>
      <w:r>
        <w:rPr>
          <w:sz w:val="28"/>
        </w:rPr>
        <w:t>,</w:t>
      </w:r>
    </w:p>
    <w:p w:rsidR="004318DD" w:rsidRDefault="004318DD" w:rsidP="004318DD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где </w:t>
      </w:r>
      <w:r>
        <w:rPr>
          <w:position w:val="-30"/>
          <w:sz w:val="28"/>
        </w:rPr>
        <w:object w:dxaOrig="1155" w:dyaOrig="720">
          <v:shape id="_x0000_i1041" type="#_x0000_t75" style="width:57.75pt;height:36pt" o:ole="">
            <v:imagedata r:id="rId34" o:title=""/>
          </v:shape>
          <o:OLEObject Type="Embed" ProgID="Equation.3" ShapeID="_x0000_i1041" DrawAspect="Content" ObjectID="_1553965110" r:id="rId35"/>
        </w:object>
      </w:r>
      <w:r>
        <w:rPr>
          <w:sz w:val="28"/>
        </w:rPr>
        <w:t xml:space="preserve"> – </w:t>
      </w:r>
      <w:proofErr w:type="gramStart"/>
      <w:r>
        <w:rPr>
          <w:sz w:val="28"/>
        </w:rPr>
        <w:t>постоянная</w:t>
      </w:r>
      <w:proofErr w:type="gramEnd"/>
      <w:r>
        <w:rPr>
          <w:sz w:val="28"/>
        </w:rPr>
        <w:t xml:space="preserve"> времени ОУ с частотой единичного усиления </w:t>
      </w:r>
      <w:r>
        <w:rPr>
          <w:position w:val="-10"/>
          <w:sz w:val="28"/>
        </w:rPr>
        <w:object w:dxaOrig="255" w:dyaOrig="345">
          <v:shape id="_x0000_i1042" type="#_x0000_t75" style="width:12.75pt;height:17.25pt" o:ole="">
            <v:imagedata r:id="rId36" o:title=""/>
          </v:shape>
          <o:OLEObject Type="Embed" ProgID="Equation.3" ShapeID="_x0000_i1042" DrawAspect="Content" ObjectID="_1553965111" r:id="rId37"/>
        </w:object>
      </w:r>
      <w:r>
        <w:rPr>
          <w:sz w:val="28"/>
        </w:rPr>
        <w:t xml:space="preserve">. В результате проведенной подстановки определяется коэффициент передачи линейной схемы в операторной форме </w:t>
      </w:r>
      <w:r>
        <w:rPr>
          <w:position w:val="-12"/>
          <w:sz w:val="28"/>
        </w:rPr>
        <w:object w:dxaOrig="735" w:dyaOrig="360">
          <v:shape id="_x0000_i1043" type="#_x0000_t75" style="width:36.75pt;height:18pt" o:ole="">
            <v:imagedata r:id="rId38" o:title=""/>
          </v:shape>
          <o:OLEObject Type="Embed" ProgID="Equation.3" ShapeID="_x0000_i1043" DrawAspect="Content" ObjectID="_1553965112" r:id="rId39"/>
        </w:object>
      </w:r>
      <w:r>
        <w:rPr>
          <w:sz w:val="28"/>
        </w:rPr>
        <w:t xml:space="preserve">, который используется далее для поиска </w:t>
      </w:r>
      <w:r>
        <w:rPr>
          <w:position w:val="-12"/>
          <w:sz w:val="28"/>
        </w:rPr>
        <w:object w:dxaOrig="855" w:dyaOrig="360">
          <v:shape id="_x0000_i1044" type="#_x0000_t75" style="width:42.75pt;height:18pt" o:ole="">
            <v:imagedata r:id="rId40" o:title=""/>
          </v:shape>
          <o:OLEObject Type="Embed" ProgID="Equation.3" ShapeID="_x0000_i1044" DrawAspect="Content" ObjectID="_1553965113" r:id="rId41"/>
        </w:object>
      </w:r>
      <w:r>
        <w:rPr>
          <w:sz w:val="28"/>
        </w:rPr>
        <w:t xml:space="preserve"> комплексного коэффициента передачи и </w:t>
      </w:r>
      <w:r>
        <w:rPr>
          <w:position w:val="-10"/>
          <w:sz w:val="28"/>
        </w:rPr>
        <w:object w:dxaOrig="435" w:dyaOrig="315">
          <v:shape id="_x0000_i1045" type="#_x0000_t75" style="width:21.75pt;height:15.75pt" o:ole="">
            <v:imagedata r:id="rId42" o:title=""/>
          </v:shape>
          <o:OLEObject Type="Embed" ProgID="Equation.3" ShapeID="_x0000_i1045" DrawAspect="Content" ObjectID="_1553965114" r:id="rId43"/>
        </w:object>
      </w:r>
      <w:r>
        <w:rPr>
          <w:sz w:val="28"/>
        </w:rPr>
        <w:t xml:space="preserve"> – переходной характеристики. Найденные выражения позволяют получить частотные зависимости модуля коэффициента усиления </w:t>
      </w:r>
      <w:r>
        <w:rPr>
          <w:position w:val="-12"/>
          <w:sz w:val="28"/>
        </w:rPr>
        <w:object w:dxaOrig="735" w:dyaOrig="360">
          <v:shape id="_x0000_i1046" type="#_x0000_t75" style="width:36.75pt;height:18pt" o:ole="">
            <v:imagedata r:id="rId44" o:title=""/>
          </v:shape>
          <o:OLEObject Type="Embed" ProgID="Equation.3" ShapeID="_x0000_i1046" DrawAspect="Content" ObjectID="_1553965115" r:id="rId45"/>
        </w:object>
      </w:r>
      <w:r>
        <w:rPr>
          <w:sz w:val="28"/>
        </w:rPr>
        <w:t xml:space="preserve"> и фазового сдвига </w:t>
      </w:r>
      <w:r>
        <w:rPr>
          <w:position w:val="-10"/>
          <w:sz w:val="28"/>
        </w:rPr>
        <w:object w:dxaOrig="555" w:dyaOrig="315">
          <v:shape id="_x0000_i1047" type="#_x0000_t75" style="width:27.75pt;height:15.75pt" o:ole="">
            <v:imagedata r:id="rId46" o:title=""/>
          </v:shape>
          <o:OLEObject Type="Embed" ProgID="Equation.3" ShapeID="_x0000_i1047" DrawAspect="Content" ObjectID="_1553965116" r:id="rId47"/>
        </w:object>
      </w:r>
      <w:r>
        <w:rPr>
          <w:sz w:val="28"/>
        </w:rPr>
        <w:t>, вносимого усилителем, и построить их в логарифмическом масштабе. Полученные графики используются для определения расчетного диапазона рабочих частот</w:t>
      </w:r>
      <w:proofErr w:type="gramStart"/>
      <w:r>
        <w:rPr>
          <w:sz w:val="28"/>
        </w:rPr>
        <w:t xml:space="preserve"> </w:t>
      </w:r>
      <w:r>
        <w:rPr>
          <w:position w:val="-14"/>
          <w:sz w:val="28"/>
        </w:rPr>
        <w:object w:dxaOrig="1605" w:dyaOrig="375">
          <v:shape id="_x0000_i1048" type="#_x0000_t75" style="width:80.25pt;height:18.75pt" o:ole="">
            <v:imagedata r:id="rId15" o:title=""/>
          </v:shape>
          <o:OLEObject Type="Embed" ProgID="Equation.3" ShapeID="_x0000_i1048" DrawAspect="Content" ObjectID="_1553965117" r:id="rId48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на границах которого коэффициент усиления уменьшается в </w:t>
      </w:r>
      <w:r>
        <w:rPr>
          <w:position w:val="-6"/>
          <w:sz w:val="28"/>
        </w:rPr>
        <w:object w:dxaOrig="375" w:dyaOrig="345">
          <v:shape id="_x0000_i1049" type="#_x0000_t75" style="width:18.75pt;height:17.25pt" o:ole="">
            <v:imagedata r:id="rId49" o:title=""/>
          </v:shape>
          <o:OLEObject Type="Embed" ProgID="Equation.3" ShapeID="_x0000_i1049" DrawAspect="Content" ObjectID="_1553965118" r:id="rId50"/>
        </w:object>
      </w:r>
      <w:r>
        <w:rPr>
          <w:sz w:val="28"/>
        </w:rPr>
        <w:t xml:space="preserve"> раз. Переходная функция </w:t>
      </w:r>
      <w:r>
        <w:rPr>
          <w:position w:val="-10"/>
          <w:sz w:val="28"/>
        </w:rPr>
        <w:object w:dxaOrig="435" w:dyaOrig="315">
          <v:shape id="_x0000_i1050" type="#_x0000_t75" style="width:21.75pt;height:15.75pt" o:ole="">
            <v:imagedata r:id="rId42" o:title=""/>
          </v:shape>
          <o:OLEObject Type="Embed" ProgID="Equation.3" ShapeID="_x0000_i1050" DrawAspect="Content" ObjectID="_1553965119" r:id="rId51"/>
        </w:object>
      </w:r>
      <w:r>
        <w:rPr>
          <w:sz w:val="28"/>
        </w:rPr>
        <w:t xml:space="preserve"> позволяет определить для области низких частот (больших времен) в УНЧ искажения крыши прямоугольного импульса, а для области высоких частот (малых времен) искажения фронта прямоугольного импульса. Считая, что на вход схемы поступает последовательность прямоугольных импульсов с амплитудой </w:t>
      </w:r>
      <w:r>
        <w:rPr>
          <w:position w:val="-12"/>
          <w:sz w:val="28"/>
        </w:rPr>
        <w:object w:dxaOrig="360" w:dyaOrig="360">
          <v:shape id="_x0000_i1051" type="#_x0000_t75" style="width:18pt;height:18pt" o:ole="">
            <v:imagedata r:id="rId52" o:title=""/>
          </v:shape>
          <o:OLEObject Type="Embed" ProgID="Equation.3" ShapeID="_x0000_i1051" DrawAspect="Content" ObjectID="_1553965120" r:id="rId53"/>
        </w:object>
      </w:r>
      <w:r>
        <w:rPr>
          <w:sz w:val="28"/>
        </w:rPr>
        <w:t xml:space="preserve">=10 мВ, длительностью </w:t>
      </w:r>
      <w:r>
        <w:rPr>
          <w:position w:val="-12"/>
          <w:sz w:val="28"/>
        </w:rPr>
        <w:object w:dxaOrig="225" w:dyaOrig="360">
          <v:shape id="_x0000_i1052" type="#_x0000_t75" style="width:11.25pt;height:18pt" o:ole="">
            <v:imagedata r:id="rId54" o:title=""/>
          </v:shape>
          <o:OLEObject Type="Embed" ProgID="Equation.3" ShapeID="_x0000_i1052" DrawAspect="Content" ObjectID="_1553965121" r:id="rId55"/>
        </w:object>
      </w:r>
      <w:r>
        <w:rPr>
          <w:sz w:val="28"/>
        </w:rPr>
        <w:t xml:space="preserve">=10 </w:t>
      </w:r>
      <w:proofErr w:type="spellStart"/>
      <w:r>
        <w:rPr>
          <w:sz w:val="28"/>
        </w:rPr>
        <w:t>мс</w:t>
      </w:r>
      <w:proofErr w:type="spellEnd"/>
      <w:r>
        <w:rPr>
          <w:sz w:val="28"/>
        </w:rPr>
        <w:t xml:space="preserve"> и скважностью </w:t>
      </w:r>
      <w:r>
        <w:rPr>
          <w:position w:val="-10"/>
          <w:sz w:val="28"/>
        </w:rPr>
        <w:object w:dxaOrig="195" w:dyaOrig="255">
          <v:shape id="_x0000_i1053" type="#_x0000_t75" style="width:9.75pt;height:12.75pt" o:ole="">
            <v:imagedata r:id="rId56" o:title=""/>
          </v:shape>
          <o:OLEObject Type="Embed" ProgID="Equation.3" ShapeID="_x0000_i1053" DrawAspect="Content" ObjectID="_1553965122" r:id="rId57"/>
        </w:object>
      </w:r>
      <w:r>
        <w:rPr>
          <w:sz w:val="28"/>
        </w:rPr>
        <w:t>=2, далее строится временная диаграмма работы схемы.</w:t>
      </w:r>
    </w:p>
    <w:p w:rsidR="004318DD" w:rsidRDefault="004318DD" w:rsidP="00431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 С учетом справочных данных ОУ и аналитических выражений, найденных в п. 4, строится амплитудная характеристика линейной схемы для средних частот </w:t>
      </w:r>
      <w:r>
        <w:rPr>
          <w:position w:val="-12"/>
          <w:sz w:val="28"/>
        </w:rPr>
        <w:object w:dxaOrig="1440" w:dyaOrig="360">
          <v:shape id="_x0000_i1054" type="#_x0000_t75" style="width:1in;height:18pt" o:ole="">
            <v:imagedata r:id="rId11" o:title=""/>
          </v:shape>
          <o:OLEObject Type="Embed" ProgID="Equation.3" ShapeID="_x0000_i1054" DrawAspect="Content" ObjectID="_1553965123" r:id="rId58"/>
        </w:object>
      </w:r>
      <w:r>
        <w:rPr>
          <w:sz w:val="28"/>
        </w:rPr>
        <w:t>, по которой оценивается динамический диапазон по входному сигналу.</w:t>
      </w:r>
    </w:p>
    <w:p w:rsidR="004318DD" w:rsidRPr="004318DD" w:rsidRDefault="004318DD" w:rsidP="004318DD">
      <w:pPr>
        <w:pStyle w:val="a3"/>
        <w:spacing w:line="360" w:lineRule="auto"/>
        <w:ind w:firstLine="709"/>
        <w:rPr>
          <w:sz w:val="28"/>
          <w:szCs w:val="28"/>
        </w:rPr>
      </w:pPr>
    </w:p>
    <w:p w:rsidR="00CC61D7" w:rsidRPr="004318DD" w:rsidRDefault="00CC61D7" w:rsidP="004318DD"/>
    <w:sectPr w:rsidR="00CC61D7" w:rsidRPr="0043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D7"/>
    <w:rsid w:val="004318DD"/>
    <w:rsid w:val="00CC61D7"/>
    <w:rsid w:val="00E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61D7"/>
    <w:pPr>
      <w:keepNext/>
      <w:jc w:val="center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C61D7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CC61D7"/>
    <w:pPr>
      <w:spacing w:line="360" w:lineRule="auto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61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318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31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61D7"/>
    <w:pPr>
      <w:keepNext/>
      <w:jc w:val="center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C61D7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CC61D7"/>
    <w:pPr>
      <w:spacing w:line="360" w:lineRule="auto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61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318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31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dcterms:created xsi:type="dcterms:W3CDTF">2017-04-17T17:03:00Z</dcterms:created>
  <dcterms:modified xsi:type="dcterms:W3CDTF">2017-04-17T17:10:00Z</dcterms:modified>
</cp:coreProperties>
</file>