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231B" w:rsidRDefault="00F3231B" w:rsidP="00F3231B">
      <w:p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 xml:space="preserve">Кормление сельскохозяйственных животных. </w:t>
      </w:r>
    </w:p>
    <w:p w:rsidR="00F3231B" w:rsidRPr="00F3231B" w:rsidRDefault="00F3231B" w:rsidP="00F3231B">
      <w:p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>Вопросы:</w:t>
      </w:r>
    </w:p>
    <w:p w:rsidR="00F3231B" w:rsidRPr="00F3231B" w:rsidRDefault="00F3231B" w:rsidP="00F3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>Значение липидов в кормлении сельскохозяйственных животных.</w:t>
      </w:r>
    </w:p>
    <w:p w:rsidR="00F3231B" w:rsidRPr="00F3231B" w:rsidRDefault="00F3231B" w:rsidP="00F3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>Сенаж. Технология приготовления сенажа, оценка качества, хранение.</w:t>
      </w:r>
    </w:p>
    <w:p w:rsidR="00F3231B" w:rsidRPr="00F3231B" w:rsidRDefault="00F3231B" w:rsidP="00F3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>Особенности пищеварения и обмена веществ у лошадей. Потребность лошадей в энергии, питательных веществах и нормы кормления. Рационы кормления.</w:t>
      </w:r>
    </w:p>
    <w:p w:rsidR="00F3231B" w:rsidRPr="00F3231B" w:rsidRDefault="00F3231B" w:rsidP="00F3231B">
      <w:pPr>
        <w:jc w:val="both"/>
        <w:rPr>
          <w:rFonts w:ascii="Times New Roman" w:hAnsi="Times New Roman" w:cs="Times New Roman"/>
          <w:sz w:val="28"/>
          <w:szCs w:val="28"/>
        </w:rPr>
      </w:pPr>
      <w:r w:rsidRPr="00F3231B">
        <w:rPr>
          <w:rFonts w:ascii="Times New Roman" w:hAnsi="Times New Roman" w:cs="Times New Roman"/>
          <w:sz w:val="28"/>
          <w:szCs w:val="28"/>
        </w:rPr>
        <w:t>Список использованной литературы не старше 6-10 лет.</w:t>
      </w:r>
    </w:p>
    <w:sectPr w:rsidR="00F3231B" w:rsidRPr="00F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D0B"/>
    <w:multiLevelType w:val="hybridMultilevel"/>
    <w:tmpl w:val="26E8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231B"/>
    <w:rsid w:val="00F3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2017-04-12T11:03:00Z</dcterms:created>
  <dcterms:modified xsi:type="dcterms:W3CDTF">2017-04-12T11:07:00Z</dcterms:modified>
</cp:coreProperties>
</file>