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63" w:rsidRPr="00503363" w:rsidRDefault="00503363" w:rsidP="00503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36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503363" w:rsidRPr="00503363" w:rsidRDefault="00503363" w:rsidP="00503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63">
        <w:rPr>
          <w:rFonts w:ascii="Times New Roman" w:hAnsi="Times New Roman" w:cs="Times New Roman"/>
          <w:sz w:val="28"/>
          <w:szCs w:val="28"/>
        </w:rPr>
        <w:t>на</w:t>
      </w:r>
      <w:r w:rsidRPr="00503363">
        <w:rPr>
          <w:rFonts w:ascii="Times New Roman" w:hAnsi="Times New Roman" w:cs="Times New Roman"/>
          <w:b/>
          <w:sz w:val="28"/>
          <w:szCs w:val="28"/>
        </w:rPr>
        <w:t xml:space="preserve"> курсовую работу</w:t>
      </w:r>
    </w:p>
    <w:p w:rsidR="00503363" w:rsidRPr="00503363" w:rsidRDefault="00503363" w:rsidP="00503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363" w:rsidRDefault="00503363" w:rsidP="00503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63">
        <w:rPr>
          <w:rFonts w:ascii="Times New Roman" w:hAnsi="Times New Roman" w:cs="Times New Roman"/>
          <w:sz w:val="28"/>
          <w:szCs w:val="28"/>
        </w:rPr>
        <w:t>по дисциплине: «Развитие и современное состояние автомобильного транспорта и дорожного движения»</w:t>
      </w:r>
    </w:p>
    <w:p w:rsidR="00503363" w:rsidRPr="00503363" w:rsidRDefault="00503363" w:rsidP="00503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363" w:rsidRPr="00503363" w:rsidRDefault="00503363" w:rsidP="00503363">
      <w:pPr>
        <w:pStyle w:val="a7"/>
        <w:numPr>
          <w:ilvl w:val="0"/>
          <w:numId w:val="1"/>
        </w:numPr>
        <w:spacing w:line="276" w:lineRule="auto"/>
        <w:ind w:left="0" w:hanging="357"/>
        <w:jc w:val="both"/>
        <w:rPr>
          <w:szCs w:val="28"/>
        </w:rPr>
      </w:pPr>
      <w:r w:rsidRPr="00503363">
        <w:rPr>
          <w:szCs w:val="28"/>
        </w:rPr>
        <w:t xml:space="preserve">Тема: </w:t>
      </w:r>
      <w:r w:rsidRPr="00503363">
        <w:rPr>
          <w:b/>
          <w:bCs/>
          <w:kern w:val="36"/>
          <w:szCs w:val="28"/>
        </w:rPr>
        <w:t>Расчет нормативов социально-экономического ущерба от дорожно-транспортных происшествий</w:t>
      </w:r>
    </w:p>
    <w:p w:rsidR="00503363" w:rsidRPr="00503363" w:rsidRDefault="00503363" w:rsidP="00503363">
      <w:pPr>
        <w:pStyle w:val="a7"/>
        <w:numPr>
          <w:ilvl w:val="0"/>
          <w:numId w:val="1"/>
        </w:numPr>
        <w:spacing w:line="276" w:lineRule="auto"/>
        <w:ind w:left="0" w:hanging="357"/>
        <w:jc w:val="both"/>
        <w:rPr>
          <w:szCs w:val="28"/>
        </w:rPr>
      </w:pPr>
      <w:r w:rsidRPr="00503363">
        <w:rPr>
          <w:szCs w:val="28"/>
        </w:rPr>
        <w:t xml:space="preserve">Исходные </w:t>
      </w:r>
      <w:proofErr w:type="gramStart"/>
      <w:r w:rsidRPr="00503363">
        <w:rPr>
          <w:szCs w:val="28"/>
        </w:rPr>
        <w:t>данные  по</w:t>
      </w:r>
      <w:proofErr w:type="gramEnd"/>
      <w:r w:rsidRPr="00503363">
        <w:rPr>
          <w:szCs w:val="28"/>
        </w:rPr>
        <w:t xml:space="preserve"> варианту  </w:t>
      </w:r>
      <w:r w:rsidR="0090008F">
        <w:rPr>
          <w:szCs w:val="28"/>
        </w:rPr>
        <w:t>3</w:t>
      </w:r>
      <w:r>
        <w:rPr>
          <w:szCs w:val="28"/>
        </w:rPr>
        <w:t xml:space="preserve"> </w:t>
      </w:r>
      <w:r w:rsidRPr="00503363">
        <w:rPr>
          <w:szCs w:val="28"/>
        </w:rPr>
        <w:t>(табл. 1).</w:t>
      </w:r>
    </w:p>
    <w:p w:rsidR="00503363" w:rsidRPr="00503363" w:rsidRDefault="00503363" w:rsidP="00503363">
      <w:pPr>
        <w:spacing w:after="0"/>
        <w:ind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63">
        <w:rPr>
          <w:rFonts w:ascii="Times New Roman" w:hAnsi="Times New Roman" w:cs="Times New Roman"/>
          <w:b/>
          <w:sz w:val="28"/>
          <w:szCs w:val="28"/>
        </w:rPr>
        <w:t>Перечень разделов пояснительной записки</w:t>
      </w:r>
    </w:p>
    <w:p w:rsidR="00503363" w:rsidRPr="00503363" w:rsidRDefault="00503363" w:rsidP="00503363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503363" w:rsidRPr="00503363" w:rsidRDefault="00503363" w:rsidP="00503363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03363">
        <w:rPr>
          <w:rFonts w:ascii="Times New Roman" w:hAnsi="Times New Roman" w:cs="Times New Roman"/>
          <w:sz w:val="28"/>
          <w:szCs w:val="28"/>
        </w:rPr>
        <w:t>Введение;</w:t>
      </w:r>
    </w:p>
    <w:p w:rsidR="00503363" w:rsidRPr="00503363" w:rsidRDefault="00503363" w:rsidP="00503363">
      <w:pPr>
        <w:pStyle w:val="a9"/>
        <w:spacing w:line="276" w:lineRule="auto"/>
        <w:ind w:hanging="357"/>
        <w:rPr>
          <w:sz w:val="28"/>
          <w:szCs w:val="28"/>
        </w:rPr>
      </w:pPr>
      <w:r w:rsidRPr="00503363">
        <w:rPr>
          <w:bCs/>
          <w:kern w:val="36"/>
          <w:sz w:val="28"/>
          <w:szCs w:val="28"/>
        </w:rPr>
        <w:t>Расчет нормативов социально-экономического ущерба от дорожно-транспортных происшествий</w:t>
      </w:r>
      <w:r w:rsidRPr="00503363">
        <w:rPr>
          <w:sz w:val="28"/>
          <w:szCs w:val="28"/>
        </w:rPr>
        <w:t>;</w:t>
      </w:r>
    </w:p>
    <w:p w:rsidR="00503363" w:rsidRPr="00503363" w:rsidRDefault="00503363" w:rsidP="00503363">
      <w:pPr>
        <w:pStyle w:val="a9"/>
        <w:spacing w:line="276" w:lineRule="auto"/>
        <w:ind w:hanging="357"/>
        <w:rPr>
          <w:sz w:val="28"/>
          <w:szCs w:val="28"/>
        </w:rPr>
      </w:pPr>
      <w:r w:rsidRPr="00503363">
        <w:rPr>
          <w:sz w:val="28"/>
          <w:szCs w:val="28"/>
        </w:rPr>
        <w:t xml:space="preserve">Заключение; </w:t>
      </w:r>
    </w:p>
    <w:p w:rsidR="00503363" w:rsidRPr="00503363" w:rsidRDefault="00503363" w:rsidP="00503363">
      <w:pPr>
        <w:pStyle w:val="a9"/>
        <w:spacing w:line="276" w:lineRule="auto"/>
        <w:ind w:hanging="357"/>
        <w:rPr>
          <w:sz w:val="28"/>
          <w:szCs w:val="28"/>
        </w:rPr>
      </w:pPr>
      <w:r w:rsidRPr="00503363">
        <w:rPr>
          <w:sz w:val="28"/>
          <w:szCs w:val="28"/>
        </w:rPr>
        <w:t>Библиографический список.</w:t>
      </w:r>
    </w:p>
    <w:p w:rsidR="00503363" w:rsidRDefault="00503363" w:rsidP="00503363">
      <w:pPr>
        <w:pStyle w:val="a9"/>
        <w:spacing w:line="276" w:lineRule="auto"/>
        <w:ind w:left="720" w:hanging="357"/>
      </w:pPr>
    </w:p>
    <w:p w:rsidR="00503363" w:rsidRDefault="00503363" w:rsidP="00446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E356A" w:rsidRPr="00AE356A" w:rsidRDefault="00483006" w:rsidP="00446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r w:rsidR="00AE356A" w:rsidRPr="00AE35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="00AE356A" w:rsidRPr="00AE35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 расчет нормативов социально-экономического ущерба от дор</w:t>
      </w:r>
      <w:r w:rsidR="00B558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ожно-транспортных происшествий</w:t>
      </w:r>
    </w:p>
    <w:p w:rsidR="00483006" w:rsidRDefault="00483006" w:rsidP="004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483006" w:rsidRDefault="00483006" w:rsidP="004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="00AE356A" w:rsidRPr="004830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социально-экономического ущерба в результате дорожно-транспортного происшествия (далее - ущерб) включает в себя несколько составляющих: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гибели и ранения людей;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повреждения транспортных средств;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порчи груза;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повреждения дороги.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в результате гибели и ранения людей составляет самую значительную часть ущерба от ДТП и включает в себя следующие социально-экономические параметры: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экономические потери из-за выбытия человека из сферы производства;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социально-экономические потери государства при выплате пенсий по инвалидности и по случаю потери кормильца, а также при оплате лечения в больницах и временной нетрудоспособности;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социально-экономические потери из-за гибели детей.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ущерба от ДТП оценивается на основе расчета прямых и косвенных народно-хозяйственных потерь.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прямым (непосредственным) относятся потери владельцев подвижного состава автомобильного транспорта, службы по эксплуатации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дорог и ликвидации последствий ДТП и грузоотправителей, затраты ГИБДД и юридических органов на расследование дорожно-транспортных происшествий, медицинских учреждений на лечение потерпевших, предприятий, сотрудники которых стали жертвами аварий (оплата бюллетеней, выдача пособий), затраты государственных органов социального обеспечения (пенсии) и страховые выплаты.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косвенным относятся потери народного хозяйства вследствие временного или полного выбытия человека из сферы материального производства, нарушения производственных связей и моральные потери.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Полная оценка ущерба от гибели и ранения людей включает элементы как прямых, так и косвенных потерь.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оценки потерь из-за выбытия человека из сферы материального производства используется метод общих доходов. Основой этого метода является выражение в денежной форме экономической пользы, которую общество получит благодаря тому, что предотвратит гибель человека в ДТП. При таком подходе собственное потребление человека рассматривается как составная часть государственной прибыли, полученной от производственной и социально-экономической деятельности отдельных граждан.</w:t>
      </w:r>
    </w:p>
    <w:p w:rsidR="00AE356A" w:rsidRPr="00AE356A" w:rsidRDefault="00AE356A" w:rsidP="0048300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РАСЧЕТ ВЕЛИЧИНЫ УЩЕРБА ОТ ДТП В РЕЗУЛЬТАТЕ ГИБЕЛИ ИЛИ РАНЕНИЯ ЛЮДЕЙ</w:t>
      </w:r>
    </w:p>
    <w:p w:rsidR="00AE356A" w:rsidRPr="00AE356A" w:rsidRDefault="00AE356A" w:rsidP="0048300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 Составляющие ущерба в результате гибели и ранения людей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Общий 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ущерб  (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)  от  дорожно-транспортных  происшествий  с</w:t>
      </w:r>
      <w:r w:rsidR="004E11B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пострадавшими определяется по формуле:</w:t>
      </w:r>
    </w:p>
    <w:p w:rsidR="009B66A9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П</w:t>
      </w:r>
      <w:r w:rsidR="00F2559A" w:rsidRP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  <w:proofErr w:type="gramEnd"/>
      <w:r w:rsidR="00123E3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руб.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где:   </w:t>
      </w:r>
      <w:r w:rsidR="00F2559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 w:rsidRP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гибелью людей, имевших семью;</w:t>
      </w:r>
    </w:p>
    <w:p w:rsidR="00AE356A" w:rsidRPr="00AE356A" w:rsidRDefault="00F2559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гибелью людей без семьи;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  связанные   с   получением  пострадавшими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инвалидности, лишившей полностью их трудоспособности;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  связанные   с   получением   пострадавшими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инвалидности, частично лишившей их трудоспособности;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временной нетрудоспособностью;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гибелью детей.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Потери,  связанные  с  гибелью людей, имевших семью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и без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семьи (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),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вычисляются по формулам: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;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="00123E3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 руб.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9B6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proofErr w:type="gramEnd"/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 N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ИС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количество погибших, имевших семью;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ИС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удельный вес людей из числа погибших, имевших семью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(0,7)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N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количество погибших без семьи;</w:t>
      </w:r>
    </w:p>
    <w:p w:rsidR="00AE356A" w:rsidRPr="00AE356A" w:rsidRDefault="009B66A9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N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общее число погибших в ДТП;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стоимостная  оценка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ущерба от гибели человека, имевшего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семью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стоимостная оценка ущерба от гибели человека, не имевшего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семью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Потери,  связанные  с  получением  инвалидности,  в результате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которой   пострадавшие   не   работают 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 и  работают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),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устанавливаются по формулам:</w:t>
      </w:r>
    </w:p>
    <w:p w:rsidR="001576F2" w:rsidRDefault="009B66A9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= Н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3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1576F2" w:rsidRDefault="009B66A9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4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количество  инвалидов,  которые  получают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пенсию;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количество инвалидов, которые получают пенсию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 одновременно работают;</w:t>
      </w:r>
    </w:p>
    <w:p w:rsidR="00AE356A" w:rsidRPr="00AE356A" w:rsidRDefault="001576F2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РИ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E50FA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удельный  вес</w:t>
      </w:r>
      <w:proofErr w:type="gram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инвалидов,  которые  получают  пенсию и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одновременно работают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(0,6)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N</w:t>
      </w:r>
      <w:proofErr w:type="gramStart"/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ПИ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количество    пострадавших,     получивших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инвалидность;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ПИ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E50FA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удельный вес пострадавших, получивших инвалидность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(0,5)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N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количество  пострадавших, получивших  временную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нетрудоспособность;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−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стоимостная  оценка  ущерба  от  ранения  с  получением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 без возможности дальнейшей работы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стоимостная  оценка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ущерба  от  ранения  с  получением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 и возможностью дальнейшей работы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     от     ранения    людей,    получивших    временную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нетрудоспособность, определяются по формуле: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5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 ,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5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стоимостная  оценка  ущерба  от  ранения  без получения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</w:t>
      </w:r>
      <w:r w:rsidR="00242648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6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стоимостная оценка ущерба от гибели ребенка.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 от гибели детей определяются по формуле: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6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760FD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число погибших детей.</w:t>
      </w:r>
    </w:p>
    <w:p w:rsidR="005656B5" w:rsidRDefault="005656B5" w:rsidP="00D4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2.2. Стоимостная оценка ущерба в результате гибели или ранения людей</w:t>
      </w:r>
    </w:p>
    <w:p w:rsidR="00531199" w:rsidRDefault="00531199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основным составляющим ущерба от ДТП с пострадавшими относятся следующие: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экономические потери из-за отвлечения из сферы производства людей, погибших или получивших телесные повреждения;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затраты на оказание пострадавшим первой медицинской помощи и лечение;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выплаты пенсий (инвалидам, семьям погибших);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оплата по временной нетрудоспособности.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подсчете потерь в результате гибели человека определяется ожидаемая продолжительность его трудовой деятельности до пенсионного возраста и оценивается недополученный вклад в ВВП. Средний возраст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погибших в ДТП определяется на основе данных государственной статистической отчетности. Для этого используется формула, отражающая удельный вес числа погибших каждой возрастной категории:</w:t>
      </w:r>
    </w:p>
    <w:p w:rsidR="00AE356A" w:rsidRPr="009268D8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val="en-US"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D =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1</w:t>
      </w:r>
      <w:r w:rsid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proofErr w:type="gramStart"/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+...+ 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(S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),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S - средний возраст погибших данной возрастной категории;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R - удельное число погибших данной возрастной категории;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 - средний возраст погибших в ДТП.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расчетов показывают, что средний возраст погибших в ДТП составляет 39,5 лет. Данная величина должна постоянно уточняться при проведении ежегодных расчетов стоимостной оценки ущерба от гибели человека.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существующему законодательству пенсионный возраст для мужчин - 60 лет, женщин - 55 лет. Ожидаемое количество лет, которое не дорабатывают до пенсионного возраста: у мужчин - 20,5 лет, у женщин - 15,5 лет, что составляет в среднем 18,5 лет (Т).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Потери в рабочих днях, если человек не работает в течение одного года, составляют 262 рабочих дня.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2.2.1. Оценка величины недополученного валового внутреннего продукта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Для  стоимостной  оценки ущерба общества в результате гибели и</w:t>
      </w:r>
    </w:p>
    <w:p w:rsidR="00AE356A" w:rsidRPr="00AE356A" w:rsidRDefault="00AE356A" w:rsidP="0028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ранения  человека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методом общих доходов определяется величина Д </w:t>
      </w:r>
      <w:r w:rsidR="00284AA8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недопроизведенный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им   валовой  внутренний  продукт  (ВВП).  Эта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величина  рассчитывается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как частное от деления суммы фактического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конечного   потребления   (П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КОН</w:t>
      </w:r>
      <w:r w:rsidR="0089219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РФ </w:t>
      </w:r>
      <w:r w:rsidR="00F4169A">
        <w:rPr>
          <w:rFonts w:ascii="Times New Roman" w:eastAsia="Times New Roman" w:hAnsi="Times New Roman" w:cs="Courier New"/>
          <w:sz w:val="28"/>
          <w:szCs w:val="20"/>
          <w:lang w:eastAsia="ru-RU"/>
        </w:rPr>
        <w:t>–</w:t>
      </w:r>
      <w:r w:rsidR="0089219D" w:rsidRPr="0089219D">
        <w:t xml:space="preserve"> </w:t>
      </w:r>
      <w:r w:rsidR="00CE0B6B">
        <w:rPr>
          <w:rFonts w:ascii="Times New Roman" w:eastAsia="Times New Roman" w:hAnsi="Times New Roman" w:cs="Courier New"/>
          <w:sz w:val="28"/>
          <w:szCs w:val="20"/>
          <w:lang w:eastAsia="ru-RU"/>
        </w:rPr>
        <w:t>10</w:t>
      </w:r>
      <w:r w:rsid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% ВВП)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населения   и   государственных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учреждений (за вычетом социальных трансфертов в натуральной форме)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  валового накопления (В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</w:t>
      </w:r>
      <w:r w:rsidR="00FC015C" w:rsidRP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РФ – </w:t>
      </w:r>
      <w:r w:rsid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="00FC61A1">
        <w:rPr>
          <w:rFonts w:ascii="Times New Roman" w:eastAsia="Times New Roman" w:hAnsi="Times New Roman" w:cs="Courier New"/>
          <w:sz w:val="28"/>
          <w:szCs w:val="20"/>
          <w:lang w:eastAsia="ru-RU"/>
        </w:rPr>
        <w:t>5</w:t>
      </w:r>
      <w:r w:rsidR="00FC015C">
        <w:rPr>
          <w:rFonts w:ascii="Times New Roman" w:eastAsia="Times New Roman" w:hAnsi="Times New Roman" w:cs="Courier New"/>
          <w:sz w:val="28"/>
          <w:szCs w:val="20"/>
          <w:lang w:eastAsia="ru-RU"/>
        </w:rPr>
        <w:t>% ВВП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за год, на который ведется расчет, на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среднегодовую  численность населения, занятого в экономике (за тот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же год) (N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Ч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).</w:t>
      </w:r>
    </w:p>
    <w:p w:rsidR="00AE356A" w:rsidRPr="00AE356A" w:rsidRDefault="0079741B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Д=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КОН</m:t>
                  </m:r>
                </m:sub>
              </m:s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В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Ч</m:t>
                  </m:r>
                </m:sub>
              </m:sSub>
            </m:den>
          </m:f>
        </m:oMath>
      </m:oMathPara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расчете стоимостных оценок ущерба от гибели или ранения человека за базу принимается прогноз Минэкономики России о росте ВВП на 5% в 2000 году по отношению к 1999 году в сопоставимых ценах, а также оценка Минэкономики России индекса-дефлятора ВВП: 1999/1998 - 153% и 2000/1999 - 121% в текущих ценах. Доходы, которые могли бы быть получены в будущем, если бы человек не погиб и работал, приводятся к настоящему времени методом дисконтирования.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2.2.2. Оценка потерь, связанных с выплатой пособий семьям в случае гибели кормильца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Составляющими величины пособий по случаю потери кормильца являются: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пособия детям и подросткам до 16 лет;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пособия другим членам семьи, находящимся на иждивении.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 Оценка потерь при получении телесных повреждений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оценке потерь учитываются две группы пострадавших: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получившие инвалидность и временную нетрудоспособность, т.к. эти данные отражаются в официальных документах (отделов социального обеспечения, суда и т.д.);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получении инвалидности учитывается: стоимость нахождения в больнице, оплата по временной нетрудоспособности, выплата пенсии по инвалидности, потери доходов обществом;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временной нетрудоспособности учитывается: стоимость нахождения в больнице, оплата по временной нетрудоспособности, потери доходов обществом.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2.2.3.1. Оценка потерь, связанных с получением инвалидности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Средний срок инвалидности составляет 10,6 года. В соответствии с </w:t>
      </w:r>
      <w:hyperlink r:id="rId6" w:history="1">
        <w:r w:rsidRPr="00AE356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Постановлением</w:t>
        </w:r>
      </w:hyperlink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от 11 марта 1999 г. N 279 "Об утверждении Положения о расследовании и учете несчастных случаев на производстве" и </w:t>
      </w:r>
      <w:hyperlink r:id="rId7" w:history="1">
        <w:r w:rsidRPr="00AE356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Приказа</w:t>
        </w:r>
      </w:hyperlink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Минздрава России от 17 августа 1999 г. N 322 "Об утверждении Схемы определения тяжести несчастных случаев на производстве" принимается разделение степени тяжести ранения в ДТП на две категории: тяжелые и легкие.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тяжелым относятся: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длительные расстройства здоровья с временной утратой трудоспособности 60 дней и выше;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стойкая утрата трудоспособности (инвалидность).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легким относятся: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расстройства здоровья с временной утратой трудоспособности продолжительностью до 60 дней.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2.2.3.2. Оценка потерь, связанных с временной нетрудоспособностью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потерь, связанных с временной нетрудоспособностью, используются следующие данные: средняя продолжительность временной нетрудоспособности, затраты на медицинское обслуживание при стационарном лечении, потери доходов общества из-за временной нетрудоспособности.</w:t>
      </w:r>
    </w:p>
    <w:p w:rsidR="00AE356A" w:rsidRPr="0060112E" w:rsidRDefault="00AE356A" w:rsidP="006011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1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2.3. Оценка ущерба в результате гибели человека, не имевшего семью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</w:t>
      </w:r>
      <w:r w:rsidR="00D433E8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+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  <w:proofErr w:type="gramEnd"/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где:    </w:t>
      </w:r>
      <w:r w:rsidR="00D433E8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доходы, который принес бы человек, если бы работал</w:t>
      </w:r>
      <w:r w:rsidR="00D433E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 момента гибели до пенсии:</w:t>
      </w:r>
    </w:p>
    <w:p w:rsidR="00AE356A" w:rsidRPr="0026065E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</w:t>
      </w:r>
    </w:p>
    <w:p w:rsidR="00AE356A" w:rsidRPr="001078B4" w:rsidRDefault="00D433E8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078B4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="00AE356A" w:rsidRPr="001078B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val="en-US" w:eastAsia="ru-RU"/>
              </w:rPr>
              <m:t>n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Courier New"/>
                <w:sz w:val="28"/>
                <w:szCs w:val="20"/>
                <w:lang w:val="en-US" w:eastAsia="ru-RU"/>
              </w:rPr>
              <m:t>n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=10</m:t>
            </m:r>
          </m:sup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Д×(1+</m:t>
            </m:r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P</m:t>
                </m:r>
              </m:sub>
            </m:s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)×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n</m:t>
                </m:r>
              </m:sup>
            </m:sSup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/(1+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val="en-US" w:eastAsia="ru-RU"/>
              </w:rPr>
              <m:t>r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)</m:t>
            </m:r>
          </m:e>
        </m:nary>
      </m:oMath>
      <w:r w:rsidR="001078B4" w:rsidRPr="001078B4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</w:t>
      </w:r>
    </w:p>
    <w:p w:rsidR="00AE356A" w:rsidRPr="00AE356A" w:rsidRDefault="00AE356A" w:rsidP="0000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60112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i</w:t>
      </w:r>
      <w:r w:rsidR="00037E30">
        <w:rPr>
          <w:rFonts w:ascii="Times New Roman" w:eastAsia="Times New Roman" w:hAnsi="Times New Roman" w:cs="Courier New"/>
          <w:i/>
          <w:sz w:val="28"/>
          <w:szCs w:val="20"/>
          <w:vertAlign w:val="super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344DA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величина   индекса   ВВП   за  рассматриваемый  период</w:t>
      </w:r>
      <w:r w:rsidR="000014D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(рассчитывается в долях в текущих ценах)</w:t>
      </w:r>
      <w:r w:rsidR="0094046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</w:t>
      </w:r>
      <w:r w:rsidR="00940469"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i</w:t>
      </w:r>
      <w:r w:rsidR="0094046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40469">
        <w:rPr>
          <w:rFonts w:ascii="Times New Roman" w:eastAsia="Times New Roman" w:hAnsi="Times New Roman" w:cs="Courier New"/>
          <w:sz w:val="28"/>
          <w:szCs w:val="20"/>
          <w:lang w:eastAsia="ru-RU"/>
        </w:rPr>
        <w:t>= 3,5</w:t>
      </w:r>
      <w:r w:rsidR="002046B9">
        <w:rPr>
          <w:rFonts w:ascii="Times New Roman" w:eastAsia="Times New Roman" w:hAnsi="Times New Roman" w:cs="Courier New"/>
          <w:sz w:val="28"/>
          <w:szCs w:val="20"/>
          <w:lang w:eastAsia="ru-RU"/>
        </w:rPr>
        <w:t>-5,5</w:t>
      </w:r>
      <w:r w:rsidR="00940469">
        <w:rPr>
          <w:rFonts w:ascii="Times New Roman" w:eastAsia="Times New Roman" w:hAnsi="Times New Roman" w:cs="Courier New"/>
          <w:sz w:val="28"/>
          <w:szCs w:val="20"/>
          <w:lang w:eastAsia="ru-RU"/>
        </w:rPr>
        <w:t>%)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F22A56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F2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D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F2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дисконтирования (в долях)</w:t>
      </w:r>
      <w:r w:rsidR="00F22A56" w:rsidRPr="00F22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</w:t>
      </w:r>
      <w:r w:rsidR="00F22A56" w:rsidRPr="00F22A56">
        <w:rPr>
          <w:rFonts w:ascii="Times New Roman" w:hAnsi="Times New Roman" w:cs="Times New Roman"/>
          <w:sz w:val="28"/>
          <w:szCs w:val="28"/>
        </w:rPr>
        <w:t xml:space="preserve"> уровня инфляции в России</w:t>
      </w:r>
      <w:r w:rsidR="00940469">
        <w:rPr>
          <w:rFonts w:ascii="Times New Roman" w:hAnsi="Times New Roman" w:cs="Times New Roman"/>
          <w:sz w:val="28"/>
          <w:szCs w:val="28"/>
        </w:rPr>
        <w:t>. Берется от 5% до 7%</w:t>
      </w:r>
      <w:r w:rsidR="00F22A56">
        <w:rPr>
          <w:rFonts w:ascii="Times New Roman" w:hAnsi="Times New Roman" w:cs="Times New Roman"/>
          <w:sz w:val="28"/>
          <w:szCs w:val="28"/>
        </w:rPr>
        <w:t xml:space="preserve"> </w:t>
      </w:r>
      <w:r w:rsidR="00F22A56" w:rsidRPr="00F22A56">
        <w:rPr>
          <w:rFonts w:ascii="Times New Roman" w:hAnsi="Times New Roman" w:cs="Times New Roman"/>
          <w:sz w:val="28"/>
          <w:szCs w:val="28"/>
        </w:rPr>
        <w:t>(</w:t>
      </w:r>
      <w:r w:rsidR="00F22A56" w:rsidRPr="00F22A5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22A56" w:rsidRPr="00F22A56">
        <w:rPr>
          <w:rFonts w:ascii="Times New Roman" w:hAnsi="Times New Roman" w:cs="Times New Roman"/>
          <w:sz w:val="28"/>
          <w:szCs w:val="28"/>
        </w:rPr>
        <w:t xml:space="preserve"> = 0,</w:t>
      </w:r>
      <w:r w:rsidR="00F22A56">
        <w:rPr>
          <w:rFonts w:ascii="Times New Roman" w:hAnsi="Times New Roman" w:cs="Times New Roman"/>
          <w:sz w:val="28"/>
          <w:szCs w:val="28"/>
        </w:rPr>
        <w:t>0532 – 2013 год</w:t>
      </w:r>
      <w:r w:rsidR="00B30E4F">
        <w:rPr>
          <w:rFonts w:ascii="Times New Roman" w:hAnsi="Times New Roman" w:cs="Times New Roman"/>
          <w:sz w:val="28"/>
          <w:szCs w:val="28"/>
        </w:rPr>
        <w:t xml:space="preserve">, </w:t>
      </w:r>
      <w:r w:rsidR="00B30E4F" w:rsidRPr="00F22A5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30E4F" w:rsidRPr="00F22A56">
        <w:rPr>
          <w:rFonts w:ascii="Times New Roman" w:hAnsi="Times New Roman" w:cs="Times New Roman"/>
          <w:sz w:val="28"/>
          <w:szCs w:val="28"/>
        </w:rPr>
        <w:t xml:space="preserve"> = </w:t>
      </w:r>
      <w:r w:rsidR="00B30E4F">
        <w:rPr>
          <w:rFonts w:ascii="Times New Roman" w:hAnsi="Times New Roman" w:cs="Times New Roman"/>
          <w:sz w:val="28"/>
          <w:szCs w:val="28"/>
        </w:rPr>
        <w:t>….. – 2014 год и т.д.</w:t>
      </w:r>
      <w:r w:rsidR="00F22A56" w:rsidRPr="00F22A56">
        <w:rPr>
          <w:rFonts w:ascii="Times New Roman" w:hAnsi="Times New Roman" w:cs="Times New Roman"/>
          <w:sz w:val="28"/>
          <w:szCs w:val="28"/>
        </w:rPr>
        <w:t>)</w:t>
      </w:r>
      <w:r w:rsidRPr="00F22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lastRenderedPageBreak/>
        <w:t>t</w:t>
      </w:r>
      <w:proofErr w:type="gramStart"/>
      <w:r w:rsidR="00037E30">
        <w:rPr>
          <w:rFonts w:ascii="Times New Roman" w:eastAsia="Times New Roman" w:hAnsi="Times New Roman" w:cs="Courier New"/>
          <w:i/>
          <w:sz w:val="28"/>
          <w:szCs w:val="20"/>
          <w:vertAlign w:val="subscript"/>
          <w:lang w:eastAsia="ru-RU"/>
        </w:rPr>
        <w:t>р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344DA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прогноз  темпа  роста  ВВП  (рассчитывается  в  долях в  р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уб. (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сопоставимых ценах)</w:t>
      </w:r>
      <w:r w:rsidR="002046B9" w:rsidRPr="002046B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2046B9">
        <w:rPr>
          <w:rFonts w:ascii="Times New Roman" w:hAnsi="Times New Roman" w:cs="Times New Roman"/>
          <w:sz w:val="28"/>
          <w:szCs w:val="28"/>
        </w:rPr>
        <w:t xml:space="preserve">Берется от 3,5% до 7,5% </w:t>
      </w:r>
      <w:r w:rsidR="002046B9" w:rsidRPr="00F22A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46B9"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t</w:t>
      </w:r>
      <w:r w:rsidR="002046B9">
        <w:rPr>
          <w:rFonts w:ascii="Times New Roman" w:eastAsia="Times New Roman" w:hAnsi="Times New Roman" w:cs="Courier New"/>
          <w:i/>
          <w:sz w:val="28"/>
          <w:szCs w:val="20"/>
          <w:vertAlign w:val="subscript"/>
          <w:lang w:eastAsia="ru-RU"/>
        </w:rPr>
        <w:t>р</w:t>
      </w:r>
      <w:proofErr w:type="spellEnd"/>
      <w:r w:rsidR="002046B9" w:rsidRPr="00F22A56">
        <w:rPr>
          <w:rFonts w:ascii="Times New Roman" w:hAnsi="Times New Roman" w:cs="Times New Roman"/>
          <w:sz w:val="28"/>
          <w:szCs w:val="28"/>
        </w:rPr>
        <w:t xml:space="preserve"> = 0,</w:t>
      </w:r>
      <w:r w:rsidR="002046B9">
        <w:rPr>
          <w:rFonts w:ascii="Times New Roman" w:hAnsi="Times New Roman" w:cs="Times New Roman"/>
          <w:sz w:val="28"/>
          <w:szCs w:val="28"/>
        </w:rPr>
        <w:t xml:space="preserve">0532 – 2013 год, </w:t>
      </w:r>
      <w:r w:rsidR="002046B9" w:rsidRPr="00F22A5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046B9" w:rsidRPr="00F22A56">
        <w:rPr>
          <w:rFonts w:ascii="Times New Roman" w:hAnsi="Times New Roman" w:cs="Times New Roman"/>
          <w:sz w:val="28"/>
          <w:szCs w:val="28"/>
        </w:rPr>
        <w:t xml:space="preserve"> = </w:t>
      </w:r>
      <w:r w:rsidR="002046B9">
        <w:rPr>
          <w:rFonts w:ascii="Times New Roman" w:hAnsi="Times New Roman" w:cs="Times New Roman"/>
          <w:sz w:val="28"/>
          <w:szCs w:val="28"/>
        </w:rPr>
        <w:t>….. – 2014 год и т.д.</w:t>
      </w:r>
      <w:r w:rsidR="002046B9" w:rsidRPr="00F22A56">
        <w:rPr>
          <w:rFonts w:ascii="Times New Roman" w:hAnsi="Times New Roman" w:cs="Times New Roman"/>
          <w:sz w:val="28"/>
          <w:szCs w:val="28"/>
        </w:rPr>
        <w:t>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60112E" w:rsidRDefault="0060112E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расходы на оказание ритуальных услуг</w:t>
      </w:r>
      <w:r w:rsidR="003F502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(по текущему году)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</w:p>
    <w:p w:rsidR="00531199" w:rsidRDefault="00531199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60112E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601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2.4. Оценка ущерба в результате гибели человека, имевшего семью</w:t>
      </w:r>
    </w:p>
    <w:p w:rsidR="00AE356A" w:rsidRPr="00AE356A" w:rsidRDefault="00AE356A" w:rsidP="006011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случае к Н</w:t>
      </w:r>
      <w:r w:rsidRPr="008125C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прибавляется пособие семье по случаю потери кормильца.</w:t>
      </w:r>
    </w:p>
    <w:p w:rsidR="008125C8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P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  <w:proofErr w:type="gramEnd"/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8125C8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344DA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сумма ожидаемых  к выплате пособий по случаю потери</w:t>
      </w:r>
      <w:r w:rsidR="002344D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кормильца за 12 лет.</w:t>
      </w:r>
    </w:p>
    <w:p w:rsidR="00AE356A" w:rsidRPr="00AE356A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Сумма пособий, ожидаемая к выплате, определяется как:</w:t>
      </w:r>
    </w:p>
    <w:p w:rsidR="00FF332C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</w:t>
      </w:r>
    </w:p>
    <w:p w:rsidR="008B2AB7" w:rsidRPr="0026065E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</w:t>
      </w:r>
    </w:p>
    <w:p w:rsidR="008B2AB7" w:rsidRPr="0026065E" w:rsidRDefault="00FF332C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-22860</wp:posOffset>
            </wp:positionV>
            <wp:extent cx="3329305" cy="8382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AB7" w:rsidRPr="008B2AB7" w:rsidRDefault="008B2AB7" w:rsidP="008B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B2AB7" w:rsidRPr="008B2AB7" w:rsidRDefault="008B2AB7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66DEF" w:rsidRDefault="00AE356A" w:rsidP="00FF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де: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F332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268D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пособие  по случаю потери кормильца (среднемесячное) в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год, на который ведется расчет;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</w:p>
    <w:p w:rsidR="00AE356A" w:rsidRDefault="00AE356A" w:rsidP="00FF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1,38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среднее количество человек в семье,  получающих пособие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66DEF">
        <w:rPr>
          <w:rFonts w:ascii="Times New Roman" w:eastAsia="Times New Roman" w:hAnsi="Times New Roman" w:cs="Courier New"/>
          <w:sz w:val="28"/>
          <w:szCs w:val="20"/>
          <w:lang w:eastAsia="ru-RU"/>
        </w:rPr>
        <w:t>по случаю потери кормильца;</w:t>
      </w:r>
    </w:p>
    <w:p w:rsidR="00F66DEF" w:rsidRPr="00AE356A" w:rsidRDefault="00F66DEF" w:rsidP="00FF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r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коэффициент дисконтирования (в долях)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(п. 2.3)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FF332C" w:rsidRDefault="00FF332C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9268D8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8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2.5. Оценка ущерба в результате ранения человека</w:t>
      </w:r>
    </w:p>
    <w:p w:rsidR="00FF332C" w:rsidRDefault="00FF332C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.5.1. Оценка потерь, связанных с получением инвалидности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ранения в ДТП и получения инвалидности пострадавшему выплачивается пенсия по инвалидности в среднем в течение 10,6 </w:t>
      </w:r>
      <w:proofErr w:type="gramStart"/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.</w:t>
      </w:r>
      <w:proofErr w:type="gramEnd"/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 пенсии определяется следующим образом:</w:t>
      </w:r>
    </w:p>
    <w:p w:rsidR="00793EC2" w:rsidRPr="00793EC2" w:rsidRDefault="00793EC2" w:rsidP="0079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85725</wp:posOffset>
            </wp:positionV>
            <wp:extent cx="2305050" cy="714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</w:p>
    <w:p w:rsidR="00793EC2" w:rsidRPr="00793EC2" w:rsidRDefault="00B7098F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,           </w:t>
      </w:r>
      <w:r w:rsidR="00793EC2" w:rsidRPr="00793EC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</w:t>
      </w:r>
      <w:r w:rsidR="00FF332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793EC2" w:rsidRPr="00793EC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</w:t>
      </w:r>
    </w:p>
    <w:p w:rsidR="00793EC2" w:rsidRPr="00793EC2" w:rsidRDefault="00793EC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0014D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РГ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F343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среднемесячная  пенсия  по инвалидности в год, на который ведется расчет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 руб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2.5.2. Оценка потерь при тяжелом ранении за время нахождения </w:t>
      </w:r>
      <w:r w:rsidR="00793EC2"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острадавшего в больнице и временной нетрудоспособности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нахождения пострадавшего в больнице - 120 дней, а временной нетрудоспособности - 150 дней.</w:t>
      </w:r>
    </w:p>
    <w:p w:rsidR="00AE356A" w:rsidRPr="00AE356A" w:rsidRDefault="00AE356A" w:rsidP="00FF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Потери дохода общества при временной нетрудоспособности</w:t>
      </w:r>
      <w:r w:rsidR="00FF332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</w:t>
      </w:r>
      <w:r w:rsidR="002A4E1A">
        <w:rPr>
          <w:rFonts w:ascii="Times New Roman" w:eastAsia="Times New Roman" w:hAnsi="Times New Roman" w:cs="Times New Roman"/>
          <w:sz w:val="28"/>
          <w:szCs w:val="20"/>
          <w:lang w:eastAsia="ru-RU"/>
        </w:rPr>
        <w:t>Δ</w:t>
      </w:r>
      <w:r w:rsidR="002A4E1A" w:rsidRP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):</w:t>
      </w:r>
    </w:p>
    <w:p w:rsidR="00AE356A" w:rsidRPr="00AE356A" w:rsidRDefault="002A4E1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Δ</w:t>
      </w:r>
      <w:r w:rsidRP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150,</w:t>
      </w: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</w:t>
      </w:r>
    </w:p>
    <w:p w:rsidR="00793EC2" w:rsidRDefault="00AE356A" w:rsidP="000E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: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</w:t>
      </w:r>
      <w:r w:rsid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 в сутки.                                 </w:t>
      </w:r>
    </w:p>
    <w:p w:rsidR="00AE356A" w:rsidRDefault="0090008F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С</m:t>
              </m:r>
            </m:sub>
          </m:sSub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∆</m:t>
              </m:r>
            </m:num>
            <m:den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262</m:t>
              </m:r>
            </m:den>
          </m:f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 xml:space="preserve"> ,</m:t>
          </m:r>
        </m:oMath>
      </m:oMathPara>
    </w:p>
    <w:p w:rsidR="00C97731" w:rsidRPr="00AE356A" w:rsidRDefault="0052654A" w:rsidP="00C9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0E248E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заработанная плата в год, руб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1E39CF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39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2.5.3. Оценка величины недополученных доходов при тяжелом ранении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Доходы, который принес бы человек, если бы полноценно работал с момента ранения в течение 10,6 лет:</w:t>
      </w:r>
    </w:p>
    <w:p w:rsidR="00AE356A" w:rsidRPr="00AE356A" w:rsidRDefault="00BE65D3" w:rsidP="00B7098F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28203" cy="6381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6A" w:rsidRPr="001E39CF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39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2.5.4. Оценка ущерба в результате тяжелого ранения человека, получившего инвалидность и неработающего</w:t>
      </w:r>
    </w:p>
    <w:p w:rsidR="00264770" w:rsidRDefault="00264770" w:rsidP="005F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E356A" w:rsidRPr="00AE356A" w:rsidRDefault="0090008F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∆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ТР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ИНВ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б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Н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Т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∆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бл</m:t>
            </m:r>
          </m:sub>
        </m:sSub>
      </m:oMath>
      <w:r w:rsidR="00E50FAE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53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F343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F343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затраты на стационарное лечение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5F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F343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оплата временной нетрудоспособности</w:t>
      </w:r>
      <w:r w:rsidR="00531199">
        <w:rPr>
          <w:rFonts w:ascii="Times New Roman" w:eastAsia="Times New Roman" w:hAnsi="Times New Roman" w:cs="Courier New"/>
          <w:sz w:val="28"/>
          <w:szCs w:val="20"/>
          <w:lang w:eastAsia="ru-RU"/>
        </w:rPr>
        <w:t>, руб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93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2.5.5. Оценка ущерба в результате тяжелого ранения человека, получившего инвалидность и работающего</w:t>
      </w:r>
    </w:p>
    <w:p w:rsidR="00AE356A" w:rsidRPr="00AE356A" w:rsidRDefault="0090008F" w:rsidP="00B7098F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ИНВ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бл</m:t>
              </m:r>
            </m:sub>
          </m:sSub>
        </m:oMath>
      </m:oMathPara>
    </w:p>
    <w:p w:rsidR="00AE356A" w:rsidRPr="009F5A0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2.6. Оценка ущерба в результате легкого ранения</w:t>
      </w:r>
    </w:p>
    <w:p w:rsidR="005F3430" w:rsidRDefault="005F3430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длительность стационарного лечения одного пострадавшего составляет 20 дней, а средняя продолжительность последующей временной нетрудоспособности пострадавшего составляет 30 дней.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ущерба от легкого ранения складываются из:</w:t>
      </w: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затрат на лечение в больнице (20 дней)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>–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;</w:t>
      </w:r>
      <w:proofErr w:type="gramEnd"/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оплаты временной нетрудоспособности (30 дней)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>–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;</w:t>
      </w:r>
      <w:proofErr w:type="gramEnd"/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потерь общества за время лечения в больнице и временной</w:t>
      </w:r>
    </w:p>
    <w:p w:rsidR="00AE356A" w:rsidRPr="00AE356A" w:rsidRDefault="00AE356A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нетрудоспособности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(30 дней)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>
        <w:rPr>
          <w:rFonts w:ascii="Times New Roman" w:eastAsia="Times New Roman" w:hAnsi="Times New Roman" w:cs="Times New Roman"/>
          <w:sz w:val="28"/>
          <w:szCs w:val="20"/>
          <w:lang w:eastAsia="ru-RU"/>
        </w:rPr>
        <w:t>−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43534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="0043534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</w:p>
    <w:p w:rsidR="00AE356A" w:rsidRPr="00AE356A" w:rsidRDefault="00A321C7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AE356A" w:rsidRDefault="00AE356A" w:rsidP="00A3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</w:t>
      </w:r>
    </w:p>
    <w:p w:rsidR="00AE356A" w:rsidRPr="00AE356A" w:rsidRDefault="00AE356A" w:rsidP="00286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Суммарные потери общества составляют: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P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5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О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+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proofErr w:type="spell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="00A321C7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proofErr w:type="spell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AE356A" w:rsidRPr="009F5A02" w:rsidRDefault="00AE356A" w:rsidP="00F255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2.7. Оценка ущерба в результате гибели детей</w:t>
      </w:r>
    </w:p>
    <w:p w:rsidR="00AE356A" w:rsidRPr="00AE356A" w:rsidRDefault="00AE356A" w:rsidP="001E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Анализ проведенных ранее исследований показал, что средний возраст гибели ребенка составляет 11 лет. Расчет ущерба для общества в результате гибели ребенка проводится следующим образом:</w:t>
      </w:r>
    </w:p>
    <w:p w:rsidR="00AE356A" w:rsidRPr="00AE356A" w:rsidRDefault="00AE356A" w:rsidP="001E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Определяются затраты на обучение одного ребенка:</w:t>
      </w:r>
    </w:p>
    <w:p w:rsidR="00AE356A" w:rsidRPr="00AE356A" w:rsidRDefault="00AE356A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обуч</w:t>
      </w:r>
      <w:proofErr w:type="spell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proofErr w:type="gram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r.об</w:t>
      </w:r>
      <w:proofErr w:type="spellEnd"/>
      <w:proofErr w:type="gram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</w:t>
      </w:r>
      <w:proofErr w:type="spellStart"/>
      <w:r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DD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где:   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З </w:t>
      </w:r>
      <w:proofErr w:type="spell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r.об</w:t>
      </w:r>
      <w:proofErr w:type="spellEnd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затраты на образование  в году, на который ведется</w:t>
      </w:r>
      <w:r w:rsidR="00A321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расчет;</w:t>
      </w:r>
    </w:p>
    <w:p w:rsidR="00AE356A" w:rsidRPr="00AE356A" w:rsidRDefault="00A321C7" w:rsidP="00DD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DD649F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общее количество учащихся в расчетном году.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доля учащихся в средних специальных учебных заведениях:</w:t>
      </w:r>
    </w:p>
    <w:p w:rsidR="00AE356A" w:rsidRPr="00AE356A" w:rsidRDefault="00286935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P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</w:t>
      </w:r>
      <w:r w:rsidR="00AE356A" w:rsidRP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 </w:t>
      </w:r>
      <w:proofErr w:type="spellStart"/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техн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DD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DD649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proofErr w:type="gramEnd"/>
      <w:r w:rsidRPr="00DD649F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286935"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техн</w:t>
      </w:r>
      <w:proofErr w:type="spellEnd"/>
      <w:r w:rsidR="00286935"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число  учащихся  в  средних специальных учебных</w:t>
      </w:r>
      <w:r w:rsidR="0028693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аведениях в расчетный год.</w:t>
      </w:r>
    </w:p>
    <w:p w:rsidR="00AE356A" w:rsidRPr="00AE356A" w:rsidRDefault="00AE356A" w:rsidP="002869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доля учащихся в ВУЗах в расчетном году:</w:t>
      </w:r>
    </w:p>
    <w:p w:rsidR="00AE356A" w:rsidRPr="00AE356A" w:rsidRDefault="009E3E5D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Pr="00DD649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 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9E3E5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ВУЗ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</w:t>
      </w:r>
      <w:r w:rsidR="00AE356A" w:rsidRPr="00DA5194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9E3E5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proofErr w:type="gramEnd"/>
      <w:r w:rsidRPr="00187FD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N</w:t>
      </w:r>
      <w:r w:rsidR="00501BE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ВУЗ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число учащихся в ВУЗах в расчетном году.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Определяются затраты общества на обучение, если бы ребенок не погиб:</w:t>
      </w:r>
    </w:p>
    <w:p w:rsidR="00AE356A" w:rsidRPr="00AE356A" w:rsidRDefault="00187FD0" w:rsidP="00F255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648970</wp:posOffset>
            </wp:positionV>
            <wp:extent cx="2286000" cy="796925"/>
            <wp:effectExtent l="0" t="0" r="0" b="3175"/>
            <wp:wrapThrough wrapText="bothSides">
              <wp:wrapPolygon edited="0">
                <wp:start x="0" y="0"/>
                <wp:lineTo x="0" y="21170"/>
                <wp:lineTo x="21420" y="21170"/>
                <wp:lineTo x="2142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56A"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затраты на обучение в школе (от 11 до 16 лет):</w:t>
      </w:r>
    </w:p>
    <w:p w:rsidR="009E3E5D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E356A" w:rsidRDefault="00AE356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 затраты  на обучение в средних специальных и высших учебных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заведениях:</w:t>
      </w:r>
    </w:p>
    <w:p w:rsidR="009E3E5D" w:rsidRDefault="009E3E5D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187FD0" w:rsidRDefault="0090008F" w:rsidP="00B70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ТиВ</m:t>
              </m:r>
            </m:sub>
          </m:sSub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n=6</m:t>
              </m:r>
            </m:sub>
            <m:sup>
              <m:r>
                <w:rPr>
                  <w:rFonts w:ascii="Cambria Math" w:eastAsia="Times New Roman" w:hAnsi="Cambria Math" w:cs="Courier New"/>
                  <w:sz w:val="28"/>
                  <w:szCs w:val="20"/>
                  <w:lang w:val="en-US" w:eastAsia="ru-RU"/>
                </w:rPr>
                <m:t>n</m:t>
              </m:r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=9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обуч</m:t>
                  </m:r>
                </m:sub>
              </m:s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ourier New"/>
                          <w:i/>
                          <w:sz w:val="28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∙3+∆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∙4</m:t>
                      </m:r>
                    </m:num>
                    <m:den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ourier New"/>
                          <w:i/>
                          <w:sz w:val="28"/>
                          <w:szCs w:val="20"/>
                          <w:lang w:eastAsia="ru-RU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Courier New"/>
                                  <w:i/>
                                  <w:sz w:val="28"/>
                                  <w:szCs w:val="20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Courier New"/>
                                  <w:sz w:val="28"/>
                                  <w:szCs w:val="20"/>
                                  <w:lang w:eastAsia="ru-RU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Courier New"/>
                                  <w:sz w:val="28"/>
                                  <w:szCs w:val="20"/>
                                  <w:lang w:eastAsia="ru-RU"/>
                                </w:rPr>
                                <m:t>p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 w:cs="Courier New"/>
                          <w:sz w:val="28"/>
                          <w:szCs w:val="20"/>
                          <w:lang w:eastAsia="ru-RU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Courier New"/>
                              <w:i/>
                              <w:sz w:val="28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Courier New"/>
                                  <w:i/>
                                  <w:sz w:val="28"/>
                                  <w:szCs w:val="20"/>
                                  <w:lang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Courier New"/>
                                  <w:sz w:val="28"/>
                                  <w:szCs w:val="20"/>
                                  <w:lang w:eastAsia="ru-RU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Courier New"/>
                              <w:sz w:val="28"/>
                              <w:szCs w:val="20"/>
                              <w:lang w:eastAsia="ru-RU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:rsidR="00AE356A" w:rsidRPr="00AE356A" w:rsidRDefault="00AE356A" w:rsidP="0018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BA3F3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: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3  и  </w:t>
      </w:r>
      <w:r w:rsidR="006A5B3E">
        <w:rPr>
          <w:rFonts w:ascii="Times New Roman" w:eastAsia="Times New Roman" w:hAnsi="Times New Roman" w:cs="Courier New"/>
          <w:sz w:val="28"/>
          <w:szCs w:val="20"/>
          <w:lang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соответственно  продолжительность  обучения в</w:t>
      </w:r>
      <w:r w:rsidR="009E3E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средних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пециальных и высших учебных заведениях, год.</w:t>
      </w:r>
    </w:p>
    <w:p w:rsidR="00AE356A" w:rsidRPr="00AE356A" w:rsidRDefault="00AE356A" w:rsidP="009E3E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величина заработной платы родителей, необходимой для того, чтобы вырастить ребенка до трудоспособного возраста. Считается, что на ребенка идет 1/2 заработной платы одного из родителей.</w:t>
      </w:r>
    </w:p>
    <w:p w:rsidR="00AE356A" w:rsidRPr="00AE356A" w:rsidRDefault="00AE356A" w:rsidP="009E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рассчитывается следующим образом:</w:t>
      </w:r>
    </w:p>
    <w:p w:rsidR="00AE356A" w:rsidRPr="00AE356A" w:rsidRDefault="00AE356A" w:rsidP="009E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заработная плата родителей, приходящаяся на детей, учащихся в школе:</w:t>
      </w:r>
    </w:p>
    <w:p w:rsidR="00AE356A" w:rsidRPr="00AE356A" w:rsidRDefault="0027023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207010</wp:posOffset>
            </wp:positionV>
            <wp:extent cx="2531110" cy="847725"/>
            <wp:effectExtent l="0" t="0" r="254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7023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</w:t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r w:rsidR="0027023A" w:rsidRP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г</w:t>
      </w:r>
      <w:proofErr w:type="spellEnd"/>
      <w:r w:rsidR="0027023A" w:rsidRP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среднегодовая  заработная плата одного работника в</w:t>
      </w:r>
      <w:r w:rsidR="0027023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асчетный год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, руб.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 заработная плата родителей, приходящаяся на детей, учащихся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 среднем специальном или высшем учебном заведении:</w:t>
      </w:r>
    </w:p>
    <w:p w:rsidR="00AE356A" w:rsidRPr="00AE356A" w:rsidRDefault="0027023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271145</wp:posOffset>
            </wp:positionV>
            <wp:extent cx="2685415" cy="790575"/>
            <wp:effectExtent l="0" t="0" r="63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56A" w:rsidRPr="00AE356A" w:rsidRDefault="0027023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</w:t>
      </w:r>
    </w:p>
    <w:p w:rsid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Доходы, которые не</w:t>
      </w:r>
      <w:r w:rsidR="00270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дополучены обществом от ребенка в результате его гибели, составляют:</w:t>
      </w:r>
    </w:p>
    <w:p w:rsidR="00187FD0" w:rsidRPr="00AE356A" w:rsidRDefault="00187FD0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3F2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5057775" cy="6381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56A" w:rsidRPr="00DD34A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AE356A" w:rsidRPr="00DD34AA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0,757 </w:t>
      </w:r>
      <w:r w:rsidR="00187FD0">
        <w:rPr>
          <w:rFonts w:ascii="Times New Roman" w:eastAsia="Times New Roman" w:hAnsi="Times New Roman" w:cs="Courier New"/>
          <w:sz w:val="28"/>
          <w:szCs w:val="20"/>
          <w:lang w:eastAsia="ru-RU"/>
        </w:rPr>
        <w:t>−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коэффициент, учитывающий долю учащихся, начинающих</w:t>
      </w:r>
      <w:r w:rsidR="007F23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работать в 16 лет.</w:t>
      </w:r>
    </w:p>
    <w:p w:rsid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  <w:sectPr w:rsidR="00526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653" w:type="dxa"/>
        <w:tblInd w:w="-885" w:type="dxa"/>
        <w:tblLook w:val="04A0" w:firstRow="1" w:lastRow="0" w:firstColumn="1" w:lastColumn="0" w:noHBand="0" w:noVBand="1"/>
      </w:tblPr>
      <w:tblGrid>
        <w:gridCol w:w="125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2654A" w:rsidTr="001A6DB4">
        <w:tc>
          <w:tcPr>
            <w:tcW w:w="1253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16" w:type="dxa"/>
          </w:tcPr>
          <w:p w:rsidR="0052654A" w:rsidRPr="0090008F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90008F">
              <w:rPr>
                <w:rFonts w:ascii="Times New Roman" w:hAnsi="Times New Roman"/>
                <w:b/>
                <w:sz w:val="28"/>
                <w:highlight w:val="yellow"/>
              </w:rPr>
              <w:t>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616" w:type="dxa"/>
          </w:tcPr>
          <w:p w:rsidR="0052654A" w:rsidRPr="0090008F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90008F"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25</w:t>
            </w:r>
          </w:p>
        </w:tc>
      </w:tr>
      <w:tr w:rsidR="0052654A" w:rsidTr="001A6DB4">
        <w:tc>
          <w:tcPr>
            <w:tcW w:w="1253" w:type="dxa"/>
          </w:tcPr>
          <w:p w:rsidR="001A6DB4" w:rsidRDefault="0052654A" w:rsidP="001A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∆,</w:t>
            </w:r>
          </w:p>
          <w:p w:rsidR="0052654A" w:rsidRDefault="0052654A" w:rsidP="001A6DB4">
            <w:pPr>
              <w:jc w:val="center"/>
              <w:rPr>
                <w:rFonts w:ascii="Times New Roman" w:hAnsi="Times New Roman"/>
                <w:sz w:val="28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A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6" w:type="dxa"/>
          </w:tcPr>
          <w:p w:rsidR="0052654A" w:rsidRPr="0090008F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90008F">
              <w:rPr>
                <w:rFonts w:ascii="Times New Roman" w:hAnsi="Times New Roman"/>
                <w:sz w:val="28"/>
                <w:highlight w:val="yellow"/>
              </w:rPr>
              <w:t>20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616" w:type="dxa"/>
          </w:tcPr>
          <w:p w:rsidR="0052654A" w:rsidRPr="0090008F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 w:rsidRPr="0090008F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52654A" w:rsidTr="001A6DB4">
        <w:tc>
          <w:tcPr>
            <w:tcW w:w="1253" w:type="dxa"/>
          </w:tcPr>
          <w:p w:rsidR="0052654A" w:rsidRP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</w:rPr>
              <w:t>ВУЗ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90008F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0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90008F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8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bookmarkEnd w:id="0"/>
      <w:tr w:rsidR="001A6DB4" w:rsidTr="001A6DB4">
        <w:tc>
          <w:tcPr>
            <w:tcW w:w="1253" w:type="dxa"/>
          </w:tcPr>
          <w:p w:rsidR="001A6DB4" w:rsidRPr="001A6DB4" w:rsidRDefault="001A6DB4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</w:rPr>
              <w:t>тех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90008F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0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90008F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8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A6DB4" w:rsidTr="001A6DB4">
        <w:tc>
          <w:tcPr>
            <w:tcW w:w="1253" w:type="dxa"/>
          </w:tcPr>
          <w:p w:rsidR="001A6DB4" w:rsidRDefault="001A6DB4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sz w:val="28"/>
                <w:vertAlign w:val="subscript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90008F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008F">
              <w:rPr>
                <w:rFonts w:ascii="Times New Roman" w:hAnsi="Times New Roman"/>
                <w:sz w:val="20"/>
                <w:szCs w:val="20"/>
                <w:highlight w:val="yellow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90008F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8F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9E45AE" w:rsidTr="009E45AE">
        <w:tc>
          <w:tcPr>
            <w:tcW w:w="1253" w:type="dxa"/>
          </w:tcPr>
          <w:p w:rsidR="009E45AE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r</w:t>
            </w:r>
            <w:r w:rsidRPr="0052654A">
              <w:rPr>
                <w:rFonts w:ascii="Times New Roman" w:hAnsi="Times New Roman"/>
                <w:sz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vertAlign w:val="subscript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vertAlign w:val="subscript"/>
              </w:rPr>
              <w:t>,</w:t>
            </w:r>
          </w:p>
          <w:p w:rsidR="009E45AE" w:rsidRPr="0052654A" w:rsidRDefault="00A155CF" w:rsidP="00A155CF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9E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AE"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E4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0008F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08F">
              <w:rPr>
                <w:rFonts w:ascii="Times New Roman" w:hAnsi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0008F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08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5AE" w:rsidTr="002F4FF7">
        <w:tc>
          <w:tcPr>
            <w:tcW w:w="1253" w:type="dxa"/>
          </w:tcPr>
          <w:p w:rsidR="009E45AE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>,</w:t>
            </w:r>
          </w:p>
          <w:p w:rsidR="009E45AE" w:rsidRPr="0052654A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0008F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08F">
              <w:rPr>
                <w:rFonts w:ascii="Times New Roman" w:hAnsi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0008F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08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5AE" w:rsidTr="009E45AE">
        <w:tc>
          <w:tcPr>
            <w:tcW w:w="1253" w:type="dxa"/>
          </w:tcPr>
          <w:p w:rsidR="009E45AE" w:rsidRDefault="009E45AE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Т, %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0008F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08F">
              <w:rPr>
                <w:rFonts w:ascii="Times New Roman" w:hAnsi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0008F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0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56F44" w:rsidTr="00956F44">
        <w:tc>
          <w:tcPr>
            <w:tcW w:w="1253" w:type="dxa"/>
          </w:tcPr>
          <w:p w:rsidR="00956F44" w:rsidRPr="0052654A" w:rsidRDefault="00956F4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р.г,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16" w:type="dxa"/>
            <w:vAlign w:val="center"/>
          </w:tcPr>
          <w:p w:rsidR="00956F44" w:rsidRPr="0090008F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08F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dxa"/>
            <w:vAlign w:val="center"/>
          </w:tcPr>
          <w:p w:rsidR="00956F44" w:rsidRPr="0090008F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56F44" w:rsidTr="00956F44">
        <w:tc>
          <w:tcPr>
            <w:tcW w:w="1253" w:type="dxa"/>
          </w:tcPr>
          <w:p w:rsidR="00956F44" w:rsidRPr="0052654A" w:rsidRDefault="00956F44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ИЖ,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0008F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08F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0008F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00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F66D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52654A" w:rsidRPr="00F2559A" w:rsidRDefault="00C77C39" w:rsidP="00AC60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sectPr w:rsidR="0052654A" w:rsidRPr="00F2559A" w:rsidSect="00526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7C87"/>
    <w:multiLevelType w:val="hybridMultilevel"/>
    <w:tmpl w:val="443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A"/>
    <w:rsid w:val="000014DF"/>
    <w:rsid w:val="00007EC4"/>
    <w:rsid w:val="00037E30"/>
    <w:rsid w:val="00084E5C"/>
    <w:rsid w:val="000A6E47"/>
    <w:rsid w:val="000E248E"/>
    <w:rsid w:val="000F2723"/>
    <w:rsid w:val="001078B4"/>
    <w:rsid w:val="00121493"/>
    <w:rsid w:val="00123E34"/>
    <w:rsid w:val="00140E47"/>
    <w:rsid w:val="001576F2"/>
    <w:rsid w:val="00187FD0"/>
    <w:rsid w:val="001A344C"/>
    <w:rsid w:val="001A6DB4"/>
    <w:rsid w:val="001E39CF"/>
    <w:rsid w:val="002046B9"/>
    <w:rsid w:val="002344DA"/>
    <w:rsid w:val="00242648"/>
    <w:rsid w:val="0024549B"/>
    <w:rsid w:val="00253A26"/>
    <w:rsid w:val="0026065E"/>
    <w:rsid w:val="00264770"/>
    <w:rsid w:val="0027023A"/>
    <w:rsid w:val="00284AA8"/>
    <w:rsid w:val="00286935"/>
    <w:rsid w:val="002A4E1A"/>
    <w:rsid w:val="002D57AB"/>
    <w:rsid w:val="002F4FF7"/>
    <w:rsid w:val="0032387B"/>
    <w:rsid w:val="003F5027"/>
    <w:rsid w:val="00422D03"/>
    <w:rsid w:val="00435347"/>
    <w:rsid w:val="00446D22"/>
    <w:rsid w:val="00462EC2"/>
    <w:rsid w:val="00483006"/>
    <w:rsid w:val="004C415D"/>
    <w:rsid w:val="004E11B9"/>
    <w:rsid w:val="00501BE2"/>
    <w:rsid w:val="00503363"/>
    <w:rsid w:val="005072D9"/>
    <w:rsid w:val="0052654A"/>
    <w:rsid w:val="00531199"/>
    <w:rsid w:val="00541E68"/>
    <w:rsid w:val="005656B5"/>
    <w:rsid w:val="005C5992"/>
    <w:rsid w:val="005E369B"/>
    <w:rsid w:val="005F3430"/>
    <w:rsid w:val="0060112E"/>
    <w:rsid w:val="00660FA0"/>
    <w:rsid w:val="006735A9"/>
    <w:rsid w:val="00675B80"/>
    <w:rsid w:val="006A5B3E"/>
    <w:rsid w:val="006B746C"/>
    <w:rsid w:val="006E1E9C"/>
    <w:rsid w:val="00760FDE"/>
    <w:rsid w:val="00793EC2"/>
    <w:rsid w:val="0079741B"/>
    <w:rsid w:val="007A113A"/>
    <w:rsid w:val="007D58A2"/>
    <w:rsid w:val="007F23F2"/>
    <w:rsid w:val="008125C8"/>
    <w:rsid w:val="00836470"/>
    <w:rsid w:val="008620D7"/>
    <w:rsid w:val="0089219D"/>
    <w:rsid w:val="008B2AB7"/>
    <w:rsid w:val="0090008F"/>
    <w:rsid w:val="009268D8"/>
    <w:rsid w:val="00940469"/>
    <w:rsid w:val="00956F44"/>
    <w:rsid w:val="00974EBC"/>
    <w:rsid w:val="009B1EBA"/>
    <w:rsid w:val="009B66A9"/>
    <w:rsid w:val="009D7C0C"/>
    <w:rsid w:val="009E2CA2"/>
    <w:rsid w:val="009E3E5D"/>
    <w:rsid w:val="009E45AE"/>
    <w:rsid w:val="009F5A02"/>
    <w:rsid w:val="00A155CF"/>
    <w:rsid w:val="00A321C7"/>
    <w:rsid w:val="00A93056"/>
    <w:rsid w:val="00AC60BA"/>
    <w:rsid w:val="00AE356A"/>
    <w:rsid w:val="00B30E4F"/>
    <w:rsid w:val="00B558CB"/>
    <w:rsid w:val="00B7098F"/>
    <w:rsid w:val="00BA3F30"/>
    <w:rsid w:val="00BD7BAC"/>
    <w:rsid w:val="00BE65D3"/>
    <w:rsid w:val="00C77C39"/>
    <w:rsid w:val="00C97731"/>
    <w:rsid w:val="00CE0B6B"/>
    <w:rsid w:val="00CE2A4C"/>
    <w:rsid w:val="00D433E8"/>
    <w:rsid w:val="00DA5194"/>
    <w:rsid w:val="00DD34AA"/>
    <w:rsid w:val="00DD649F"/>
    <w:rsid w:val="00E50FAE"/>
    <w:rsid w:val="00E601B7"/>
    <w:rsid w:val="00E615A1"/>
    <w:rsid w:val="00EC4666"/>
    <w:rsid w:val="00EF6132"/>
    <w:rsid w:val="00F22A56"/>
    <w:rsid w:val="00F247BC"/>
    <w:rsid w:val="00F2559A"/>
    <w:rsid w:val="00F4169A"/>
    <w:rsid w:val="00F66DEF"/>
    <w:rsid w:val="00F91B25"/>
    <w:rsid w:val="00FC015C"/>
    <w:rsid w:val="00FC61A1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A2F9"/>
  <w15:docId w15:val="{02442699-9C3F-47C9-84D4-12D20732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7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50336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03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5033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3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4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yi-akty/w0g.ht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yi-praktika/c6k.ht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6A3D-8476-408B-9FBE-C6462B0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Елена Ведяшкина</cp:lastModifiedBy>
  <cp:revision>2</cp:revision>
  <dcterms:created xsi:type="dcterms:W3CDTF">2017-03-28T16:53:00Z</dcterms:created>
  <dcterms:modified xsi:type="dcterms:W3CDTF">2017-03-28T16:53:00Z</dcterms:modified>
</cp:coreProperties>
</file>