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F8" w:rsidRPr="00A73C31" w:rsidRDefault="00D26723" w:rsidP="00A73C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C31">
        <w:rPr>
          <w:rFonts w:ascii="Times New Roman" w:hAnsi="Times New Roman" w:cs="Times New Roman"/>
          <w:b/>
          <w:sz w:val="32"/>
          <w:szCs w:val="32"/>
        </w:rPr>
        <w:t>Темы контрольных работ по истории</w:t>
      </w:r>
    </w:p>
    <w:p w:rsidR="0071196B" w:rsidRPr="00A73C31" w:rsidRDefault="0071196B">
      <w:pPr>
        <w:rPr>
          <w:rFonts w:ascii="Times New Roman" w:hAnsi="Times New Roman" w:cs="Times New Roman"/>
          <w:sz w:val="28"/>
          <w:szCs w:val="28"/>
        </w:rPr>
      </w:pP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Современная политическая ситуация в России.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Современная экономическая ситуация в России.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Современная культурная ситуация в России.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Основные направления развития современной России.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Основные направления развития передовых стран мира конца 20 – начала 21 века.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Международные организации: ООН, ЕС (предпосылки создания, деятельность, участники).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Международные организации: НАТО, ЮНЕСКО (предпосылки создания, деятельность, участники).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Международные конфликты: определение, виды международных конфликтов по различным критериям.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Основные международные конфликты конца 20 – начала 21 века (сущность, причина).</w:t>
      </w:r>
    </w:p>
    <w:p w:rsidR="0071196B" w:rsidRPr="00A73C31" w:rsidRDefault="0071196B" w:rsidP="0071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Способы урегулирования межгосударственных конфликтов (привести примеры урегулирования конфликта).</w:t>
      </w:r>
    </w:p>
    <w:p w:rsidR="00A73C31" w:rsidRPr="00A73C31" w:rsidRDefault="00A73C31" w:rsidP="00A73C31">
      <w:pPr>
        <w:rPr>
          <w:rFonts w:ascii="Times New Roman" w:hAnsi="Times New Roman" w:cs="Times New Roman"/>
          <w:sz w:val="28"/>
          <w:szCs w:val="28"/>
        </w:rPr>
      </w:pPr>
    </w:p>
    <w:p w:rsidR="00A73C31" w:rsidRPr="00A73C31" w:rsidRDefault="00A73C31" w:rsidP="00A73C31">
      <w:pPr>
        <w:rPr>
          <w:rFonts w:ascii="Times New Roman" w:hAnsi="Times New Roman" w:cs="Times New Roman"/>
          <w:sz w:val="28"/>
          <w:szCs w:val="28"/>
        </w:rPr>
      </w:pPr>
    </w:p>
    <w:p w:rsidR="00A73C31" w:rsidRPr="00A73C31" w:rsidRDefault="00A73C31" w:rsidP="00A73C31">
      <w:p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Литература:</w:t>
      </w:r>
    </w:p>
    <w:p w:rsidR="00A73C31" w:rsidRPr="00A73C31" w:rsidRDefault="00A73C31" w:rsidP="00A73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Терещенко Ю.Я. История России 20-21 в.</w:t>
      </w:r>
    </w:p>
    <w:p w:rsidR="00A73C31" w:rsidRPr="00A73C31" w:rsidRDefault="00A73C31" w:rsidP="00A73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Барсенков А.С. Вдовин А.И. История России 1917-2009 г.</w:t>
      </w:r>
    </w:p>
    <w:p w:rsidR="00A73C31" w:rsidRPr="00A73C31" w:rsidRDefault="00A73C31" w:rsidP="00A73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Громова О.Н. Конфликтология – М.,Экмос,2000г.</w:t>
      </w:r>
    </w:p>
    <w:p w:rsidR="00A73C31" w:rsidRPr="00A73C31" w:rsidRDefault="00A73C31" w:rsidP="00A73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Основы конфликтологии /Под ред. Кудрявцева В.Н. – М.,2003.</w:t>
      </w:r>
    </w:p>
    <w:p w:rsidR="00A73C31" w:rsidRPr="00A73C31" w:rsidRDefault="00A73C31" w:rsidP="00A73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3C31">
        <w:rPr>
          <w:rFonts w:ascii="Times New Roman" w:hAnsi="Times New Roman" w:cs="Times New Roman"/>
          <w:sz w:val="28"/>
          <w:szCs w:val="28"/>
        </w:rPr>
        <w:t>Глухова А.В. Типология политических конфликтов – Воронеж,2004</w:t>
      </w:r>
    </w:p>
    <w:sectPr w:rsidR="00A73C31" w:rsidRPr="00A73C31" w:rsidSect="00B5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7C5"/>
    <w:multiLevelType w:val="hybridMultilevel"/>
    <w:tmpl w:val="978A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76A82"/>
    <w:multiLevelType w:val="hybridMultilevel"/>
    <w:tmpl w:val="9300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4010"/>
    <w:rsid w:val="0071196B"/>
    <w:rsid w:val="007210FD"/>
    <w:rsid w:val="00A73C31"/>
    <w:rsid w:val="00B51EF8"/>
    <w:rsid w:val="00D26723"/>
    <w:rsid w:val="00F5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2013-10-21T23:04:00Z</dcterms:created>
  <dcterms:modified xsi:type="dcterms:W3CDTF">2013-10-21T23:04:00Z</dcterms:modified>
</cp:coreProperties>
</file>