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8E" w:rsidRPr="005A054C" w:rsidRDefault="005A054C">
      <w:pPr>
        <w:rPr>
          <w:rFonts w:ascii="Times New Roman" w:hAnsi="Times New Roman" w:cs="Times New Roman"/>
          <w:b/>
          <w:sz w:val="28"/>
          <w:szCs w:val="28"/>
        </w:rPr>
      </w:pPr>
      <w:r w:rsidRPr="005A054C">
        <w:rPr>
          <w:rFonts w:ascii="Times New Roman" w:hAnsi="Times New Roman" w:cs="Times New Roman"/>
          <w:b/>
          <w:sz w:val="28"/>
          <w:szCs w:val="28"/>
        </w:rPr>
        <w:t>Курсовой проект  по направляющим системам электросвязи.  У меня вариант</w:t>
      </w:r>
      <w:r w:rsidRPr="005A054C">
        <w:rPr>
          <w:rFonts w:ascii="Times New Roman" w:hAnsi="Times New Roman" w:cs="Times New Roman"/>
          <w:sz w:val="28"/>
          <w:szCs w:val="28"/>
        </w:rPr>
        <w:t xml:space="preserve">  </w:t>
      </w:r>
      <w:r w:rsidRPr="005A054C">
        <w:rPr>
          <w:rFonts w:ascii="Times New Roman" w:hAnsi="Times New Roman" w:cs="Times New Roman"/>
          <w:b/>
          <w:sz w:val="28"/>
          <w:szCs w:val="28"/>
        </w:rPr>
        <w:t>02</w:t>
      </w:r>
    </w:p>
    <w:p w:rsidR="005A054C" w:rsidRDefault="005A054C">
      <w:pPr>
        <w:rPr>
          <w:rFonts w:ascii="Times New Roman" w:hAnsi="Times New Roman" w:cs="Times New Roman"/>
          <w:b/>
          <w:sz w:val="28"/>
          <w:szCs w:val="28"/>
        </w:rPr>
      </w:pPr>
      <w:r w:rsidRPr="005A054C">
        <w:rPr>
          <w:rFonts w:ascii="Times New Roman" w:hAnsi="Times New Roman" w:cs="Times New Roman"/>
          <w:b/>
          <w:sz w:val="28"/>
          <w:szCs w:val="28"/>
        </w:rPr>
        <w:t xml:space="preserve">Курсовая работа должна быть подготовлена в формате редактора WORD с использованием шрифта размером 14 пунктов и соответствующего графического редактора, например, </w:t>
      </w:r>
      <w:proofErr w:type="spellStart"/>
      <w:r w:rsidRPr="005A054C">
        <w:rPr>
          <w:rFonts w:ascii="Times New Roman" w:hAnsi="Times New Roman" w:cs="Times New Roman"/>
          <w:b/>
          <w:sz w:val="28"/>
          <w:szCs w:val="28"/>
        </w:rPr>
        <w:t>Visio</w:t>
      </w:r>
      <w:proofErr w:type="spellEnd"/>
      <w:r w:rsidRPr="005A054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A054C" w:rsidRPr="005A054C" w:rsidTr="005A054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Российской Федерации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 связи и информатизации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Сибирский государственный университет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телекоммуникаций и информатики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"ПРОЕКТИРОВАНИЕ </w:t>
            </w:r>
            <w:proofErr w:type="gram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МАГИСТРАЛЬНЫХ</w:t>
            </w:r>
            <w:proofErr w:type="gramEnd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ВНУТРИЗОНОВЫХ ВОЛП"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Новосибирск 2003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1.Общие указания по выполнению курсовой работы 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2.Задание на проектирование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междугородных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ВОЛП______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2.1.Исходные данные к расчету числа каналов и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параметров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2.1.Варианты индивидуального задания _________________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3.Выбор трассы на загородном участке _________________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4.Определение числа каналов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внутризоновых и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магистральных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линиях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5.Расчет параметров оптического волокна 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6.Выбор системы передачи и определение емкости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оптического кабеля ____________________________________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6.1.Аппаратура ВОСП для внутризоновых сетей 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6.2.Аппаратура ВОСП для магистральных сетей 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7.Выбор конструкции оптического кабеля _________________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8.Расчет длины участка регенерации ВОЛП и размещение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регенерационных пунктов ______________________________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9.Составление сметы на строительство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линейных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сооружений __________________________________________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10.Расчет параметров надежности ВОЛП 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Локальная смета на прокладку и монтаж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4-х волоконного кабеля ________________________________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Концепция дальнейшего развития первичной Взаимоувязанной сети связи Российской Федерации до 2005 года предусматривает ее осуществление в основном за счет нового строительства ВОЛП с применением волоконно-оптических систем передачи, прокладываемых на магистральной и внутризоновых сетях. </w:t>
            </w:r>
            <w:proofErr w:type="gramEnd"/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Данное учебное пособие на выполнение курсовой работы разработано в соответствии с требованиями Программы курса “Направляющие системы электросвязи”. Курсовой проект является итоговой работой, способствующей глубокому изучению теоретического материала. Для выполнения курсовой работы требуется предварительно изучить все основные разделы курса “ Направляющие системы электросвязи”. Полученные в процессе работы над проектом знания способствуют усвоению и закреплению материала программы и позволяют в дальнейшем перейти к дипломному проектированию линейных сооружений междугородных сетей связи.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1.ОБЩИЕ УКАЗАНИЯ ПО ВЫПОЛНЕНИЮ КУРСОВОЙ РАБОТЫ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учебным планом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СибГУТИ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курсовой работы выполняется в седьмом семестре (1-ый семестр 4-го курса).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варианта осуществляется по двум последним цифрам пароля.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выполнении расчетов в пояснительной записке должна быть приведена в общем виде расчетная формула с расшифровкой всех входящих в нее буквенных обозначений и ссылкой на литературу, из которой взята эта расчетная формула или входящие в нее исходные данные. Результаты расчета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сопровождаются выводами и анализом полученных результатов.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Курсовая работа должна содержать кроме самой ПЗ, как “ Содержание”, “ Введение ”, “Заключение”, “ Список литературы ”.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рекомендуемой литературы</w:t>
            </w:r>
          </w:p>
          <w:p w:rsidR="005A054C" w:rsidRPr="005A054C" w:rsidRDefault="005A054C" w:rsidP="005A054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Гроднев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Волоконно-оптические линии связи,- М: Радио и связь,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1990-224с.</w:t>
            </w:r>
          </w:p>
          <w:p w:rsidR="005A054C" w:rsidRPr="005A054C" w:rsidRDefault="005A054C" w:rsidP="005A054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А.Д. Ионов, Волоконная оптика в системах связи и коммутации, ч.1 – Новосибирск: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СибГУТИ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1999г – 115 с.</w:t>
            </w:r>
          </w:p>
          <w:p w:rsidR="005A054C" w:rsidRPr="005A054C" w:rsidRDefault="005A054C" w:rsidP="005A054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К.Е.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Волоконная оптика в системах связи и коммутации, ч.2 – Новосибирск: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СибГУТИ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1999г – 122 с.</w:t>
            </w:r>
          </w:p>
          <w:p w:rsidR="005A054C" w:rsidRPr="005A054C" w:rsidRDefault="005A054C" w:rsidP="005A054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А.Д. Ионов, Волоконно-оптические линии передачи, – Новосибирск: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СибГУТИ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1999г – 132 с.</w:t>
            </w:r>
          </w:p>
          <w:p w:rsidR="005A054C" w:rsidRPr="005A054C" w:rsidRDefault="005A054C" w:rsidP="005A054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М.М. Бутусов, С.М. Верник и др., Волоконно-оптические линии передачи,- М: Радио и связь, 1992-416 с.</w:t>
            </w:r>
          </w:p>
          <w:p w:rsidR="005A054C" w:rsidRPr="005A054C" w:rsidRDefault="005A054C" w:rsidP="005A054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В.А. Андреев, В.А.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Бурдин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др., Строительство и техническая эксплуатация волоконно-оптических линий связи</w:t>
            </w:r>
          </w:p>
          <w:p w:rsidR="005A054C" w:rsidRPr="005A054C" w:rsidRDefault="005A054C" w:rsidP="005A054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Р.Р. Убайдуллаев, Волоконно-оптические сети, - М: ЭКО-ТРЕНДЗ, 2000 – 267 с.</w:t>
            </w:r>
          </w:p>
          <w:p w:rsidR="005A054C" w:rsidRPr="005A054C" w:rsidRDefault="005A054C" w:rsidP="005A054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Д.А. Барон, И.И.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Гроднев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др., Справочник – строительство кабельных сооружений связи, - М: Радио и связь, 1988-768 с.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 ЗАДАНИЕ НА ПРОЕКТИРОВАНИЕ </w:t>
            </w:r>
            <w:proofErr w:type="gram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МЕЖДУГОРОДНЫХ</w:t>
            </w:r>
            <w:proofErr w:type="gramEnd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ВОЛП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курсовой работе необходимо: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1.Выбрать и обосновать трассу ВОЛП. Привести схему трассы.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2.Определить необходимое число каналов.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3.Рассчитать параметры оптического кабеля.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4.Выбрать систему передачи и определить требуемое число ОВ в кабеле.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5.Привести эскиз выбранного типа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его основные параметры.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6.Рассчитать длину регенерационного участка.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7.Разработать схему организации связи на основе выбранной системы передачи.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8.Привести схему размещения ОРП и НРП на трассе.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9.Рассчитать параметры надежности ВОЛП.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10.Составить смету на строительство линейных сооружений по укрупненным показателям и определить стоимость канало-километра линейных сооружений.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11.Рассмотреть вопросы строительства, монтажа и измерений параметров ВОЛП в соответствии с индивидуальным заданием (по указанию руководителя проекта).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 ИСХОДНЫЕ ДАННЫЕ К РАСЧЕТУ ЧИСЛА КАНАЛОВ И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ПАРАМЕТРОВ ОПТИЧЕСКОГО КАБЕЛ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варианта осуществляется по двум последним цифрам пароля.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Таблица 2.1 </w:t>
            </w:r>
          </w:p>
          <w:tbl>
            <w:tblPr>
              <w:tblW w:w="35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3367"/>
              <w:gridCol w:w="744"/>
              <w:gridCol w:w="825"/>
              <w:gridCol w:w="1013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вар.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Оконечные пункты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мкм</w:t>
                  </w:r>
                  <w:proofErr w:type="gramEnd"/>
                </w:p>
              </w:tc>
              <w:tc>
                <w:tcPr>
                  <w:tcW w:w="6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n</w:t>
                  </w: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n</w:t>
                  </w: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Москва-Новгород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9160CB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160C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9160CB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60C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Ярославль-Владимир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9160CB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60C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9160CB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60C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1,485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9160CB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60C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Нижний Новгород-Иваново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Самара-Казань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Орел-Воронеж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1,484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Екатеринбург-Алапаевск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Кемерово-Мыски</w:t>
                  </w:r>
                  <w:proofErr w:type="gramEnd"/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1,491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1,471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Хабаровск-Вяземский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1,492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1,472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Новосибирск-Барабинск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1,493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1,473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Новосибирск-Болотное</w:t>
                  </w:r>
                  <w:proofErr w:type="gramEnd"/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1,494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1,474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Новгород-Великие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Луки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1,484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1,478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Ярославль-Череповец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1,478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1,472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Курск-Брянск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1,483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Уральск-Оренбург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1,483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1,476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Курган-Омск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1,476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Брянск-Москва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1,471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Смоленск-Москва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Самара-Казань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Уфа-Челябинск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Ростов–на–Дону – Ставрополь 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1,476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1,471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Новосибирск-Карасук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Кемерово – Белово 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Кемерово – Анжеро-Судженск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1,486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1,471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Кемерово-Новокузнецк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1,487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1,472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Кемерово – Киселевск 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1,488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1,473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Сумы – Орел 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1,477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1,472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Саратов – Тамбов 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1,478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1,473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Оренбург-Магнитогорск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1,474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Орел-Москва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Саратов-Астрахань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1,481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1,476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Новосибирск-Томск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1,482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Красноярск-Иркутск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1,483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1,478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Иркутск-Чита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1,484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1,479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Хабаровск-Владивосток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Омск-Кемерово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1,474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Кемерово-Междуреченск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1,474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Кемерово – 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Ленинск-Кузнецкий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Екатеринбург-Каменск-Уральский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1,488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1,473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Екатеринбург-Камышлов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1,487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1,472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Красноярск-Абакан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1,486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1,471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Барнаул-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Горноалтайск</w:t>
                  </w:r>
                  <w:proofErr w:type="spellEnd"/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Красноярск-Кызыл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1,474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Владивосток-Находка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1,481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Курган-Тюмень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Новосибирск-Кемерово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1,482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1,476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Иркутск-Улан-Уде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1,483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Чита-Хабаровск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1,484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1,478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Омск-Тюмень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1,479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Якутск-Магадан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1,486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Екатеринбург-Серов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Хабаровск-Амурск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1,489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1,476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Иркутск-Усолье-Сибирское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1,488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Хабаровск-Комсомольск-на-Амуре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1,487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1,474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Новосибирск-Куйбышев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Хабаровск-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Бирабиджан</w:t>
                  </w:r>
                  <w:proofErr w:type="spellEnd"/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1,486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1,473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Красноярск-Ачинск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Иркутск-Братск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1,485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1,472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Барнаул-Рубцовск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1,484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1,478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Барнаул-Бийск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1,484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1,471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Кемерово-Прокопьевск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1,483</w:t>
                  </w:r>
                </w:p>
              </w:tc>
              <w:tc>
                <w:tcPr>
                  <w:tcW w:w="8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 ВАРИАНТЫ ИНДИВИДУАЛЬНОГО ЗАДАНИЯ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строительство ВОЛП;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подготовительные работы по строительству ВОЛП;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входного контроля и группирование строительных длин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Прокладка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телефонной канализации;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Прокладка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грунте;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Особенности прокладки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условиях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многолетне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мерзлотных грунтов;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Прокладка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через водные преграды;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технической эксплуатации ВОЛП;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техническое обслуживание ВОЛП; 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контроль и служебная связь;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Электропитание аппаратуры линейного тракта;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Входной контроль ОВ;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Измерения, проводимые в процессе прокладки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Измерения, проводимые в процессе монтажа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 на смонтированном регенерационном участке ВОЛП;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Приемосдаточные измерения;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 по оценке качества соединений ОВ;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Измерение расстояния до места повреждения ОВ;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места повреждения ОВ;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Способы определения трассы прокладки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и виды измерений ВОЛП;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Методы измерения затухания ВОЛП;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Идентификация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рефлектограмм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ВОЛП;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Измерение затухания ОВ методом обратного рассеяния;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Измерение полосы пропускания и дисперсии ОВ;</w:t>
            </w:r>
          </w:p>
          <w:p w:rsidR="005A054C" w:rsidRPr="005A054C" w:rsidRDefault="005A054C" w:rsidP="005A05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Измерение числовой апертуры ОВ.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 Выбор трассы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выборе оптимального варианта трассы прокладки волоконн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оптического кабеля (ВОК) исходят из того, что линейные сооружения являются наиболее дорогой и сложной частью сети связи, поэтому при проектировании особое внимание должно быть обращено на уменьшение удельного веса расходов по строительству и эксплуатации линий связи, эффективную и надежную ее работу.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 Выбор трассы на загородном участке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зависимости от конкретных условий на загородном участке трасса прокладки ВОК выбирается на различных земельных участках, в том числе в полосах отвода автомобильных и железных дорог, охранных и запретных зонах, в коллекторах и тоннелях автомобильных и железных дорог.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Трассы магистральных и внутризоновых B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K выбираются, как правило, вдоль автодорог общегосударственного или республиканского характера, а при их отсутствии — вдоль автодорог областного и местного значений.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 отсутствии дорог трассы ВОК, при соответствующем обосновании, должны проходить по землям несельскохозяйственного назначения или по сельскохозяйственным угодьям худшего качества. При этом необходимо обходить места возможных затоплений, обвалов, промоин почвы, с большой плотностью поселения грызунов.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Если возникает необходимость в выборе трассы по пахотным землям, то в проекте организации строительства следует учитывать ограничение времени производства строительно-монтажных работ на период между посевом и уборкой сельскохозяйственных культур.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проекте должны быть предусмотрены мероприятия по предотвращению повреждений пересекаемых подземных коммуникаций при строительстве.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условиях Сибири, Дальнего Востока и Севера, где дорожная сеть развита слабо, оптические кабели допускается прокладывать в отдалении от дорог.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Выбор трассы прокладки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магистрального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внутризонового ВОК на загородном участке следует проводить в следующей последовательности: </w:t>
            </w:r>
          </w:p>
          <w:p w:rsidR="005A054C" w:rsidRPr="005A054C" w:rsidRDefault="005A054C" w:rsidP="005A05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географическим картам или атласу автомобильных дорог--- необходимо наметить возможные варианты трассы; </w:t>
            </w:r>
          </w:p>
          <w:p w:rsidR="005A054C" w:rsidRPr="005A054C" w:rsidRDefault="005A054C" w:rsidP="005A05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нанести на кальку чертеж вариантов трассы с указанием масштаба, наиболее крупных и важных коммуникаций (автомобильные и железнодорожные дороги, населенные пункты, реки и др.}; </w:t>
            </w:r>
            <w:proofErr w:type="gramEnd"/>
          </w:p>
          <w:p w:rsidR="005A054C" w:rsidRPr="005A054C" w:rsidRDefault="005A054C" w:rsidP="005A05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сравнить варианты по следующим показателям: длина, количество переходов через препятствия, удобство строительства и эксплуатации.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проекту прилагается ситуационный чертеж трассы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котором наносятся все возможные варианты трассы, а в пояснительной записке (ПЗ) приводятся их сравнение и обоснование выбранного варианта. Основные показатели сравниваемых вариантов рекомендуется свести в таблицу 3.1.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для заполнения таблицы 3.1 определяются на основании изучения картографического материала и природных условий районов прохождения трассы. Ориентировочный объем прокладки кабеля в канализации в пределах 3-4 км на каждый областной центр с населением примерно 500 тыс. жителей, расположенный по трассе. При более крупных и менее крупных населенных пунктах соответственно изменяется и протяженность канализации.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общей протяженности канализации (40-50) % принимается как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существующая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остальной протяженности трассы (5-10) % предусматривается на прокладку кабеля вручную, а остальная часть прокладывается кабелеукладчиком.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3.1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Характеристика вариантов трассы </w:t>
            </w:r>
          </w:p>
          <w:tbl>
            <w:tblPr>
              <w:tblW w:w="37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886"/>
              <w:gridCol w:w="1333"/>
              <w:gridCol w:w="1333"/>
              <w:gridCol w:w="1340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600" w:type="pct"/>
                  <w:vMerge w:val="restar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Характеристика трассы</w:t>
                  </w:r>
                </w:p>
              </w:tc>
              <w:tc>
                <w:tcPr>
                  <w:tcW w:w="450" w:type="pct"/>
                  <w:vMerge w:val="restar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Измер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Количество единиц по вариантам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вариант.№ 1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вариант.№ 2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вариант.№ 3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6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1.0бшая протяженность</w:t>
                  </w: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трассы:</w:t>
                  </w:r>
                </w:p>
                <w:p w:rsidR="005A054C" w:rsidRPr="005A054C" w:rsidRDefault="005A054C" w:rsidP="005A05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вдоль автомобильных дорог;</w:t>
                  </w:r>
                </w:p>
                <w:p w:rsidR="005A054C" w:rsidRPr="005A054C" w:rsidRDefault="005A054C" w:rsidP="005A05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вдоль грунтовых дорог, бездорожье.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Км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6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2.Способы прокладки кабеля:</w:t>
                  </w:r>
                </w:p>
                <w:p w:rsidR="005A054C" w:rsidRPr="005A054C" w:rsidRDefault="005A054C" w:rsidP="005A05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кабелеукладчиком;</w:t>
                  </w:r>
                </w:p>
                <w:p w:rsidR="005A054C" w:rsidRPr="005A054C" w:rsidRDefault="005A054C" w:rsidP="005A05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вручную;</w:t>
                  </w:r>
                </w:p>
                <w:p w:rsidR="005A054C" w:rsidRPr="005A054C" w:rsidRDefault="005A054C" w:rsidP="005A05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канализации.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6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3.Количество переходов:</w:t>
                  </w:r>
                </w:p>
                <w:p w:rsidR="005A054C" w:rsidRPr="005A054C" w:rsidRDefault="005A054C" w:rsidP="005A054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через судоходные реки; через несудоходные реки;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через железные дороги; через автомобильные дороги.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пер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6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4. Число обслуживаемых регенерационных </w:t>
                  </w:r>
                  <w:r w:rsidRPr="005A05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пунктов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пункт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необходимого количества прокладываемого ВОК необходимо предусмотреть запас с учетом неровности местности, выкладки кабеля в котлованах, колодцах и др. Норма расхода B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 на 1 км трассы приведена в таблице 3.2.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3.2 Нормы расхода волоконно-оптического кабеля</w:t>
            </w:r>
          </w:p>
          <w:tbl>
            <w:tblPr>
              <w:tblW w:w="32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82"/>
              <w:gridCol w:w="2799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2700" w:type="pct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Количество кабеля на 1 км трассы, км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27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грунт 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Через водные преграды 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кабельной канализации</w:t>
                  </w:r>
                </w:p>
              </w:tc>
              <w:tc>
                <w:tcPr>
                  <w:tcW w:w="23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1,04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1,057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Глубина прокладки подземных ВОК в грунте 1...4 группы должна быть не менее 1,2 м. При пересечениях автомобильных и железных дорог прокладка ВОК проектируется в асбестоцементных----- трубах с выводом по обе стороны от подошвы насыпи или полевой бровки на длину не менее 1 м.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3.2. Выбор трассы в населенных пунктах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городах и крупных населенных пунктах ВОК, как правило, прокладывается в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телефонной кабельной канализации или в коллекторах. При наличии метро кабели могут прокладываться в его тоннелях.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отсутствии в канализации свободных каналов в проектах нужно предусмотреть строительство новой или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докладку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каналов в существующей кабельной канализации.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выборе трассы кабельной канализации нужно стремиться к сокращению числа пересечений с уличными проездами, с автомобильными и железными дорогами. Трасса кабельной канализации должна проектироваться на уличных и внутриквартальных проездах с усовершенствованным покрытием.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 допустимое заглубление трубопроводов кабельной канализации в середине пролета представлено в таблице 3.3.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3.3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Минимальные значения заглубления трубопроводов </w:t>
            </w:r>
          </w:p>
          <w:tbl>
            <w:tblPr>
              <w:tblW w:w="35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1608"/>
              <w:gridCol w:w="1293"/>
              <w:gridCol w:w="2547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7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Материал труб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Под пешеходной частью улиц, 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9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Под проезжей частью улиц, 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2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Под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электр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., железнодорожными, трамвайными путями, от подошвы рельс, 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7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Асбоцемент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Полиэтилен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Сталь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0,4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0,4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0,6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0,6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Смотровые устройства (колодцы) кабельной канализации проектируются; </w:t>
            </w:r>
          </w:p>
          <w:p w:rsidR="005A054C" w:rsidRPr="005A054C" w:rsidRDefault="005A054C" w:rsidP="005A054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проходные — на прямолинейных участках трасс, в местах поворота трассы не более чем на 15 градусов, а также при изменении глубины заложения трубопровода; </w:t>
            </w:r>
          </w:p>
          <w:p w:rsidR="005A054C" w:rsidRPr="005A054C" w:rsidRDefault="005A054C" w:rsidP="005A054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угловые — в местах поворота трасс более чем на 15 градусов;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разветвительные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в местах разветвления трассы на два (три) направления; </w:t>
            </w:r>
          </w:p>
          <w:p w:rsidR="005A054C" w:rsidRPr="005A054C" w:rsidRDefault="005A054C" w:rsidP="005A054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станционные — в местах ввода кабелей в здания телефонной станции.</w:t>
            </w:r>
            <w:proofErr w:type="gramEnd"/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Типы смотровых устройств (колодцев) определяются емкостью вводимых труб или блоков с учетом перспективы развития сети. Расстояние между колодцами не должно превышать 150 м. В проектах рекомендуется предусматривать типовые железобетонные колодцы.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необходимости размещения контейнеров НРП в проекте нужно предусмотреть дополнительные колодцы для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НРП в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непосредственной близости от кабельной канализации (не далее 10 м от существующих колодцев). Прокладка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ВОК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кабельной канализации проектируется в свободном канале, причем общее число кабелей в одном канале не должно превышать трех.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Практикуется также прокладка кабелей в полиэтиленовых трубках марки ПНД-32-Т, которые предварительно прокладываются в свободный канал. Допускается проектирование прокладки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ВОК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занятом электрическими кабелями канале в трубке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ПНД-32-Т,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которую следует затягивать в канал каждого пролета.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Определение числа каналов на внутризоновых и магистральных линиях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каналов, связывающих заданные оконечные пункты, в основном зависит от численности населения в этих пунктах и от степени заинтересованности отдельных групп населения во взаимосвязи.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населения в любом областном центре и в области в целом может быть определена на основании статистических данных последней переписи населения в РФ. Обычно перепись населения осуществляется один раз в пять лет. Поэтому при перспективном проектировании следует учесть прирост населения. Количество населения в заданном пункте и его подчиненных окрестностях с учетом среднего прироста населения. 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466725"/>
                  <wp:effectExtent l="0" t="0" r="0" b="9525"/>
                  <wp:docPr id="1" name="Рисунок 1" descr="D:\Направляющие системы электросвязи курсовая_files\Image9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аправляющие системы электросвязи курсовая_files\Image9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чел., </w:t>
            </w:r>
            <w:proofErr w:type="gramStart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4.1 )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народонаселение в период переписи населения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чел.;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средний годовой прирост населения в данной местности, % (принимается по данным переписи 2-3%);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t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— период, определяемый как разность между назначенным перспективного проектирования и годом проведения переписи населения.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перспективного проектирования принимается на 5-10 лет вперед по сравнению с текущим временем. В курсовом проекте следует принять 5 лет вперед. Следовательно, t = 5+(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t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0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где </w:t>
            </w:r>
            <w:proofErr w:type="spell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год составления проекта;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год, к которому относятся данные Н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заинтересованности отдельных групп населения во взаимосвязи зависит от политических экономических, культурных и социальн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бытовых отношений между группами населения, районами и областями. Взаимосвязь между заданными оконечными и промежуточными пунктами определяется на основании статистических данных, полученных предприятием связи за предшествующие проектированию годы. Практически эти взаимосвязи выражают через коэффициент тяготения f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который, как показывают исследования, колеблется в широких пределах (от 0,1 до 12%). В курсовом проекте следует принять f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5%.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Учитывая это, а также то обстоятельство, что телефонные каналы в междугородной связи имеют превалирующее значение, необходимо определить сначала количество телефонных каналов между заданными оконечными пунктами. Для расчета телефонных каналов используют приближенную формулу: 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438150"/>
                  <wp:effectExtent l="0" t="0" r="9525" b="0"/>
                  <wp:docPr id="2" name="Рисунок 2" descr="D:\Направляющие системы электросвязи курсовая_files\Image9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Направляющие системы электросвязи курсовая_files\Image9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(4.2</w:t>
            </w:r>
            <w:proofErr w:type="gramStart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где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f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постоянные коэффициенты, соответствующие фиксированной доступности и заданным потерям; обычно потери задаются 5%, тогда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1,3;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f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5,6;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f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коэффициент тяготения,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f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0,05 (5 %);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y – удельная нагрузка, т.е. средняя нагрузка, создаваемая одним абонентом, y=0,05Эрл;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абонентов, обслуживаемых оконечными станциями АМТС соответственно в пунктах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Б.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перспективе количество абонентов, обслуживаемых той или иной оконечной АНТС, определяется в зависимости от численности населения, проживающего в зоне обслуживания. Принимая средний коэффициент оснащенности населения телефонными аппаратами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равным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0,38, количество абонентов в зоне АМТС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m=0,38 </w:t>
            </w:r>
            <w:proofErr w:type="spellStart"/>
            <w:r w:rsidRPr="005A05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H</w:t>
            </w:r>
            <w:r w:rsidRPr="005A05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5A05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,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(4.3)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Нt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 формулы (4.1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образом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можно рассчитать число каналов для телефонной связи между заданными оконечными пунктами, но по кабельной магистрали организуют каналы и других видов связи, а также должны проходить и транзитные каналы. Общее число каналов между двумя междугородными станциями заданных пунктов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аб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=</w:t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тф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тг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пв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пд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пг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тр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тв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(4.4)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тф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число двухсторонних каналов для телефонной связи;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тг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то же для телеграфной связи;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тв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то же для передачи телевидения;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пв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то же для передачи проводного вещания;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пд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то же для передачи данных;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пг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то же для передачи газет;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транзитные каналы.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Поскольку число каналов для организации связи различного назначения может быть выражено через число телефонных каналов, т.е. каналов ТЧ, например: 1 ТВ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= 1600 ТФ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.; 1 ТГ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= 1\24 ТФ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.; 1 ПВ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= 3 ТФ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 т.д., целесообразно общее число каналов между заданными пунктами выразить через телефонные каналы.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курсового проекта можно принять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тф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тг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пв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пд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пг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(4.5)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Тогда общее число каналов рассчитывают по упрощенной формуле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аб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тф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тв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(4.6)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тф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число двухсторонних телефонных каналов определяют по (4.2)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тв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число двухсторонних телевизионных каналов.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5. Расчет параметров оптического волокна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Зная значения показателей преломления сердцевины и оболочки ОВ, найдем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числовую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аппертуру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276225"/>
                  <wp:effectExtent l="0" t="0" r="0" b="9525"/>
                  <wp:docPr id="3" name="Рисунок 3" descr="D:\Направляющие системы электросвязи курсовая_files\Image9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аправляющие системы электросвязи курсовая_files\Image9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(5.1)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показатель преломления сердцевины ОВ;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показатель преломления оболочки ОВ.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Отсюда найдем значение апертурного угла: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228600"/>
                  <wp:effectExtent l="0" t="0" r="0" b="0"/>
                  <wp:docPr id="5" name="Рисунок 5" descr="D:\Направляющие системы электросвязи курсовая_files\Image9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Направляющие системы электросвязи курсовая_files\Image9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(5.2)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нормированной частоты рассчитывается по формуле: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390525"/>
                  <wp:effectExtent l="0" t="0" r="0" b="9525"/>
                  <wp:docPr id="6" name="Рисунок 6" descr="D:\Направляющие системы электросвязи курсовая_files\Image9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Направляющие системы электросвязи курсовая_files\Image9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(5.3)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– радиус сердцевины ОВ;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длинна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волны, мкм.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Определим число мод: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N=V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/4- для градиентного ОВ;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N=V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/2- для ступенчатого ОВ.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 затухания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Собственное затухание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зависит от , n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n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и рассчитывается по формулам: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с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= </w:t>
            </w:r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+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р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(5.4)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затухание поглощения, зависит от чистоты материала и обуславливается потерями на диэлектрическую поляризацию.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дБ/км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(5.5)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tg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тангенс диэлектрических потерь ОВ.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курсовом проекте принять </w:t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tg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=10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-11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eastAsia="ru-RU"/>
              </w:rPr>
              <w:t>-12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длинна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волны, км.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р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затухание рассеивания, обусловлено неоднородностями материала и тепловыми флуктуациями показателя преломления;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k= 1,38* 10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-23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Дж/К – постоянная Больцмана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Т=1500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температура плавления кварца;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8,1* 10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-11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 – коэффициент сжимаемости;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390525"/>
                  <wp:effectExtent l="0" t="0" r="0" b="9525"/>
                  <wp:docPr id="7" name="Рисунок 7" descr="D:\Направляющие системы электросвязи курсовая_files\Image9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Направляющие системы электросвязи курсовая_files\Image9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(5.6)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затухание примеси, возникает за счет наличия в кварце посторонних ионов различных материалов или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гидроксидных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с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= </w:t>
            </w:r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+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р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дБ/км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Кабельное затухание – обусловлено условиями прокладки и эксплуатации оптических кабелей.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Кабельное затухание рассчитывается как сумма 7 составляющих: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i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i=1 7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–затухание вследствие термомеханических воздействий на волокно в процессе изготовления кабеля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затухание вследствие температурной зависимости коэффициента преломления ОВ;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затухание на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микроизгибах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ОВ;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затухание вследствие нарушения прямолинейности ОВ;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5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затухание вследствие кручения ОВ вокруг оси;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6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затухание из-за неравномерности покрытия ОВ;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7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затухание вследствие потерь в защитной оболочке.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Курсовом Проекте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следует принять в соответствии с таблицей 5.1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5.1</w:t>
            </w:r>
          </w:p>
          <w:tbl>
            <w:tblPr>
              <w:tblW w:w="39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558"/>
              <w:gridCol w:w="692"/>
              <w:gridCol w:w="692"/>
              <w:gridCol w:w="692"/>
              <w:gridCol w:w="692"/>
              <w:gridCol w:w="558"/>
              <w:gridCol w:w="692"/>
              <w:gridCol w:w="692"/>
              <w:gridCol w:w="692"/>
              <w:gridCol w:w="565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вар.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 xml:space="preserve"> ,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дБ,/км 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0,24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0,22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0,2 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0,17 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0,15 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0,13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Расчетное суммарное затухание будет: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дБ/км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5.7 )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Расчет дисперсии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Дисперсия – рассеивание во времени спектральных или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модовых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составляющих оптического сигнала.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Полная дисперсия рассчитывается как сумма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модовой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хроматической дисперсии. 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304800"/>
                  <wp:effectExtent l="0" t="0" r="0" b="0"/>
                  <wp:docPr id="8" name="Рисунок 8" descr="D:\Направляющие системы электросвязи курсовая_files\Image9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Направляющие системы электросвязи курсовая_files\Image9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(5.8)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свою очередь хроматическая дисперсия состоит из материальной, волноводной и профильной дисперсии.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дисперсия обусловлена тем, что показатель преломления сердцевины изменяется с длинной волны.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=1 3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ППЛ;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=20 40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СИД.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504825" cy="390525"/>
                  <wp:effectExtent l="0" t="0" r="9525" b="9525"/>
                  <wp:docPr id="9" name="Рисунок 9" descr="D:\Направляющие системы электросвязи курсовая_files\Image9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Направляющие системы электросвязи курсовая_files\Image9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(5.9)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 – удельная дисперсия материала,.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ширина спектра источника излучения,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=0,1 1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ППЛ;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=10 30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СИД.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волноводная дисперсия – обусловлена процессами внутри моды и характеризуется зависимостью коэффициента распространения моды от длинны волны:</w:t>
            </w:r>
            <w:proofErr w:type="gramEnd"/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23975" cy="247650"/>
                  <wp:effectExtent l="0" t="0" r="9525" b="0"/>
                  <wp:docPr id="10" name="Рисунок 10" descr="D:\Направляющие системы электросвязи курсовая_files\Image9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Направляющие системы электросвязи курсовая_files\Image9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вол</w:t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* </w:t>
            </w:r>
            <w:proofErr w:type="gramStart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gramEnd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); </w:t>
            </w:r>
            <w:proofErr w:type="spellStart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</w:t>
            </w:r>
            <w:proofErr w:type="spellEnd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/км (5.10)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 – волноводная дисперсия, 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профильная дисперсия проявляется в реальных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обусловлена отклонением продольных и поперечных геометрических размеров и форм реального ОВ от номинала.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* П( );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/км (5.11)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 – удельная профильная дисперсия, 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определения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),В( ),П( ) воспользуемся таблицей 5.2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5.2</w:t>
            </w:r>
          </w:p>
          <w:tbl>
            <w:tblPr>
              <w:tblW w:w="31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625"/>
              <w:gridCol w:w="625"/>
              <w:gridCol w:w="558"/>
              <w:gridCol w:w="558"/>
              <w:gridCol w:w="558"/>
              <w:gridCol w:w="558"/>
              <w:gridCol w:w="692"/>
              <w:gridCol w:w="558"/>
              <w:gridCol w:w="565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2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Длина волны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мкм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21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М(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пс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/(км*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нм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400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-18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5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21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В(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пс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/(км*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нм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21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П(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пс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/(км*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нм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2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5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Результирующая дисперсия будет: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/км. (5.12)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многомодовых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волокнах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мод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&gt;&gt;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х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Модовую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дисперсию для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градиентного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ОВ можно найти по формуле: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/км, (5.13)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NA – числовая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аппертура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ОВ;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показатель преломления сердцевины ОВ;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скорость света, км/с.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 Выбор системы передачи и определение емкости кабеля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 кабеля и система передачи выбираются в зависимости от необходимого числа телефонных каналов и каналов телевидения при использовании серийно выпускаемой аппаратуры для их уплотнения.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кабеля и система передачи выбираются так, чтобы при соблюдении необходимых качественных показателей проектируемая линия была наиболее экономичной как по капитальным затратам, так и по эксплуатационным расходам.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связи оптического кабеля предусматривает передачу информации оп одному оптическому волокну, а прием по другому, что эквивалентно четырехпроводной,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одно-кабельной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схеме организации связи.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выборе системы передачи по оптическому кабелю следует использовать оптические системы передачи, созданные на базе стандартных систем ИКМ для электрического кабеля.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6.1 Аппаратура ВОСП для внутризоновых сетей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внутризоновых сетей ВСС промышленностью (АО “ ДАЛС ”) выпускаются следующие системы передачи: “Сопка-2”,“Сопка-3”,“Сопка-3М”. Система передачи “Сопка-2” обеспечивает передачу вторичного цифрового потока (8,448 Мбит/с), а системы “Сопка-3” и “Сопка-3М” передачу третичного цифрового потока (34,368 Мбит/с).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gtFrame="_blank" w:history="1">
              <w:r w:rsidRPr="005A054C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Таблица 6.1 основные параметры систем передачи</w:t>
              </w:r>
            </w:hyperlink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Примечание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МОВ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многомодовое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ОВ,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ООВ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одномодовое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ОВ,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ЛФД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лавинный фотодиод,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PIN-FD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фотодиод 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p-i-n.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системы передачи “Сопка-2”,“Сопка-3” работают в диапазоне волн 1,3 мкм с использованием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многомодовых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градиентных ОВ, а система “Сопка-3М” – на длине волны 1,55 мкм с использованием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одномодовых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ОВ. Максимальная и минимальная проектные длины регенерационных участков ВОСП приведены в таблице 6.2.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6.2 проектные длины регенерационных участков ВОСП</w:t>
            </w:r>
          </w:p>
          <w:tbl>
            <w:tblPr>
              <w:tblW w:w="34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1650"/>
              <w:gridCol w:w="1461"/>
              <w:gridCol w:w="1782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150" w:type="pct"/>
                  <w:vMerge w:val="restar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ВОСП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длина регенерационного участка, 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при затухании, дБ/км.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“Сопка-2”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33,2/15,2</w:t>
                  </w: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26,5/12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19,2/9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“ Сопка-3”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30,5/12</w:t>
                  </w: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24,4/10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18,2/7,5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 приведена структурная схема ВОСП.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tgtFrame="_blank" w:history="1">
              <w:r w:rsidRPr="005A054C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Рисунок 6.1- Структурная схема </w:t>
              </w:r>
              <w:proofErr w:type="spellStart"/>
              <w:r w:rsidRPr="005A054C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Восп</w:t>
              </w:r>
              <w:proofErr w:type="spellEnd"/>
              <w:r w:rsidRPr="005A054C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“Сопка-2”,“Сопка-3”,“Сопка-3М”.</w:t>
              </w:r>
            </w:hyperlink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6.2 Аппаратура ВОСП для магистральных сетей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магистральной сети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предусматривается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ВОлп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типов “Сопка-4”(139,264 Мбит/с)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,“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Сопка-4М”,“Сопка-5”(139,264x4Мбит/с). для таких скоростей передачи информации применяются только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одномодовые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ОВ, так как градиентные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многомодовые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ОВ ограничивают длину РУ за счет дисперсионных искажений. Обобщенная структурная схема приведена на рисунке 6.2.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tgtFrame="_blank" w:history="1">
              <w:r w:rsidRPr="005A054C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Рисунок 6.2 - Структурная схема ВОСП “СОПКА - 4”</w:t>
              </w:r>
            </w:hyperlink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курсовом проекте необходимо выбрать ВОСП и емкость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исходя из рассчитанного числа каналов. Следует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учесть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двухсторонняя связь осуществляется по двум ОВ: по одному ОВ передаются сигналы в прямом направлении, а по другому – в обратном. В обоих направлениях сигналы передаются на одной и той же длине волны.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курсовом проекте возможен выбор систем передачи SDH и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PDH,информацию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которых можно получить в дополнительной литературе.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7.ВЫБОР КОНСТРУКЦИИ ОПТИЧЕСКОГО КАБЕЛЯ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разработке конструкции кабеля следует учесть ряд требований:</w:t>
            </w:r>
          </w:p>
          <w:p w:rsidR="005A054C" w:rsidRPr="005A054C" w:rsidRDefault="005A054C" w:rsidP="005A054C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Кабель должен быть надежно защищен от внешних механических воздействий;</w:t>
            </w:r>
          </w:p>
          <w:p w:rsidR="005A054C" w:rsidRPr="005A054C" w:rsidRDefault="005A054C" w:rsidP="005A054C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 изгибе кабеля или при его растяжении в процессе прокладки оптические волокна должны оставаться неповрежденными по всему сечению кабеля;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Ниже приведены типовые конструкции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используемых на междугородных линиях.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Профилированный сердечник;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– Оптическое волокно;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 – Силовой элемент;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 – Внутренняя пластмассовая обмотка;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 – Стеклопластиковые стержни;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 – Наружная полиэтиленовая оболочка.</w:t>
            </w:r>
          </w:p>
          <w:p w:rsidR="0049028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9075" cy="2124075"/>
                  <wp:effectExtent l="0" t="0" r="9525" b="9525"/>
                  <wp:docPr id="11" name="Рисунок 11" descr="D:\Направляющие системы электросвязи курсовая_files\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Направляющие системы электросвязи курсовая_files\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Рисунок 7.1 - Эскиз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кабеля ОКЛ – 03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Оптическое волокно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– Оболочка оптического модуля;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 – Центральный силовой элемент;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 – изолированная медная жила;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 – гидрофобное заполнение;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 – обмоточная лента;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 – промежуточная оболочка из полиэтилена;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 – подушка из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бумаги;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 –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Сталеленточная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броня;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 – наружная защитная оболочка из полиэтилена (с битумной подклейкой к броне)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14825" cy="2352675"/>
                  <wp:effectExtent l="0" t="0" r="9525" b="9525"/>
                  <wp:docPr id="12" name="Рисунок 12" descr="D:\Направляющие системы электросвязи курсовая_files\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Направляющие системы электросвязи курсовая_files\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Рисунок 7.2 - Эскиз кабеля ОКЛ – 01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сердцевина оптического волокна (ОВ);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– отражающая оболочка;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 – защитная оболочка ОВ;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 – оптические волокна;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 – полиэтиленовая оболочка;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 – центральный силовой элемент;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 – синтетические нити или стальные проволоки;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 – профилирующий сердечник;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 – упрочняющие элементы (стальные проволоки);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 – изолирующая оболочка;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11 – медные изолированные жилы;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12 – полиэтиленовая оболочка, шланг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2400" cy="2705100"/>
                  <wp:effectExtent l="0" t="0" r="0" b="0"/>
                  <wp:docPr id="13" name="Рисунок 13" descr="D:\Направляющие системы электросвязи курсовая_files\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Направляющие системы электросвязи курсовая_files\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Рисунок 7.3 - Эскиз кабеля ОМЗКГ-1-0,7-4/4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Дополнительную информацию о конструкции оптических кабелей можно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получить в указанной литературе.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Курсовой работе по результатам расчетов параметров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выбрать марку кабеля, привести эскиз и основные параметры выбранного ОК.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Параметры выбранного кабеля не должны превышать рассчитанные.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 РАСЧЕТ ДЛИНЫ УЧАСТКА РЕГЕНЕРАЦИИ ВОЛП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проектировании высокоскоростных ВОЛП должны рассчитываться отдельно длина участка регенерации по затуханию (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</w:t>
            </w:r>
            <w:proofErr w:type="gram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длина участка регенерации по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широкополосности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B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так как причины, ограничивающие предельные значения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L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B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независимы.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общем случае необходимо рассчитывать две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величены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длины участка регенерации по затуханию: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 макс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проектная длина участка регенерации;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L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мин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 проектная длина участка регенерации.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оценки величин длин участка регенерации могут быть использованы следующие выражения: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771525"/>
                  <wp:effectExtent l="0" t="0" r="0" b="9525"/>
                  <wp:docPr id="14" name="Рисунок 14" descr="D:\Направляющие системы электросвязи курсовая_files\Image9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Направляющие системы электросвязи курсовая_files\Image9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(8.1)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733425"/>
                  <wp:effectExtent l="0" t="0" r="0" b="9525"/>
                  <wp:docPr id="15" name="Рисунок 15" descr="D:\Направляющие системы электросвязи курсовая_files\Image9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Направляющие системы электросвязи курсовая_files\Image9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(8.2)</w:t>
            </w:r>
          </w:p>
          <w:p w:rsidR="005A054C" w:rsidRPr="005A054C" w:rsidRDefault="0049028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600075"/>
                  <wp:effectExtent l="0" t="0" r="0" b="9525"/>
                  <wp:docPr id="16" name="Рисунок 16" descr="D:\Направляющие системы электросвязи курсовая_files\Image9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Направляющие системы электросвязи курсовая_files\Image9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(8.3)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макс</w:t>
            </w:r>
            <w:proofErr w:type="spellEnd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мин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(дБ) – максимальное и минимальное значения перекрываемого затухания выбранной аппаратуры ВОЛП, обеспечивающее к концу срока службы значение коэффициента ошибок не более 10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-10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ок</w:t>
            </w:r>
            <w:proofErr w:type="spellEnd"/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(дБ/км) –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километрическое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затухание выбранного ОК;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нс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(дБ) – среднее значение затухания мощности оптического излучения на стыке между строительными длинами кабеля на участке регенерации;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стр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среднее значение строительной длины на участке регенерации;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lastRenderedPageBreak/>
              <w:t>рс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(дБ) – затухание мощности оптического излучения разъемного оптического соединителя;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n –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разъемных оптических соединителей на участке регенерации;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------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() – суммарная дисперсия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одномодового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ОВ в выбранном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– ширина спектра оптического излучения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(МГц) –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широкополосность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цифровых сигналов, передаваемых по оптическому тракту для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СП;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(дБ) – системный запас ВОЛП по кабелю на участке регенерации.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Если по результатам расчетов получено: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В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&lt; L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макс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для проектирования должны быть выбраны аппаратура или кабель с другими техническими данными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, ), 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обеспечивающие больший запас по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широкополосности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участке регенерации. Расчет должен бить проведен снова. Критерием окончательного выбора аппаратуры или кабеля должно быть выполнение соотношения: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В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&gt; L </w:t>
            </w: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макс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учетом требуемой способности ВОЛ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на перспективу развития.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Максимальное значение перекрываемого затухания (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макс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определяется как разность между уровнем мощности оптического излучения на передаче и уровнем чувствительности приемника для ВОЛП на базе ЦСП ПЦИ. Минимальное значение перекрываемого затухания (А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мин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определяется как разность между уровнем мощности оптического излучения на передаче и уровнем перегрузки приемника для ВОЛП на базе ЦСП ПЦИ.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макс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мин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ВОЛП на базе ЦСП ПЦИ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должны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определятся в соответствии с ОСТ 45.104.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курсовом проекте принять n=2;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рс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таблицей 8.1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8.1</w:t>
            </w:r>
          </w:p>
          <w:tbl>
            <w:tblPr>
              <w:tblW w:w="36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92"/>
              <w:gridCol w:w="692"/>
              <w:gridCol w:w="692"/>
              <w:gridCol w:w="692"/>
              <w:gridCol w:w="692"/>
              <w:gridCol w:w="692"/>
              <w:gridCol w:w="692"/>
              <w:gridCol w:w="692"/>
              <w:gridCol w:w="692"/>
              <w:gridCol w:w="565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6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вар.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6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арс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дБ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0,15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0,35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0,48</w:t>
                  </w:r>
                </w:p>
              </w:tc>
              <w:tc>
                <w:tcPr>
                  <w:tcW w:w="12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6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анс</w:t>
                  </w:r>
                  <w:proofErr w:type="spellEnd"/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дБ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  <w:tc>
                <w:tcPr>
                  <w:tcW w:w="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12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После расчетов привести схему размещения регенераторов с указанием расстояния между ними и способы организации питания НРП.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НРП производится с учетом полученных допустимых длин усилительных участков для выбранных ЦСП и характеристик кабеля. Учитывая допустимое количество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питаемых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необслуживаемых РП между двумя ОРП, которое ограничивает расстояние между ними. ОРП, как правило, располагается в населенных пунктах. Где они могут быть обеспечены электроэнергией, водой, топливом, культурно-бытовыми условиями для обслуживаемого персонала. НРП оборудуются на возвышенных, незатопляемых местах с возможностью организации к ним подъезда и минимальным ущербом для плодородных земель, лесных массивов и так далее.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расчета и уточнения длин РП по секциям между ОРП определяется число НРП на каждой секции и составляется скелетная схема кабельной линии. Счет РП ведется от административного центра большего значения к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меньшему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 СОСТАВЛЕНИЕ СМЕТЫ НА СТРОИТЕЛЬСТВО ЛИНЕЙНЫХ СООРУЖЕНИЙ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Смета на строительство является основным документом, по которому осуществляется планирование капитальных вложений, финансирование строительства и расчета между подрядчиком и заказчиком за выполнение работы. В методических указаниях приведены расценки в ценах 1984 года. Пересчет сметной стоимости в цены текущего года осуществляется по коэффициентам пересчета, которые являются постоянно меняющимися и согласовываются между заказчиком и подрядчиком.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курсовом проекте коэффициент пересчета равен 31,7.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tgtFrame="_blank" w:history="1">
              <w:r w:rsidRPr="005A054C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Таблица 9.1 Локальная смета на прокладку и монтаж оптического кабеля</w:t>
              </w:r>
            </w:hyperlink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таблице 9.2 приведена стоимость оптического кабеля ОЗКГ – 1…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9.2 стоимость оптического кабеля ОЗКГ – 1</w:t>
            </w:r>
          </w:p>
          <w:tbl>
            <w:tblPr>
              <w:tblW w:w="32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66"/>
              <w:gridCol w:w="677"/>
              <w:gridCol w:w="797"/>
              <w:gridCol w:w="692"/>
              <w:gridCol w:w="1149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21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Число волокон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21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Стоимость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,т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ыс.руб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./км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  <w:tc>
                <w:tcPr>
                  <w:tcW w:w="7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9,9</w:t>
                  </w:r>
                </w:p>
              </w:tc>
              <w:tc>
                <w:tcPr>
                  <w:tcW w:w="6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12,6</w:t>
                  </w:r>
                </w:p>
              </w:tc>
              <w:tc>
                <w:tcPr>
                  <w:tcW w:w="100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15,2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расчета локальной сметы необходимо определить длину кабеля с учетом эксплуатационного запаса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).</w:t>
            </w:r>
            <w:proofErr w:type="gramEnd"/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курсовой работе примем =4%, тогда длина кабеля определится следующим образом: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каб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=(</w:t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вр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)* 1,04+ </w:t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кан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(9.1)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длина трассы при бестраншейной прокладке (кабелеукладчиком);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длина трассы, разрабатываемой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мехспособом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(экскаватор);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вр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длина трассы, разрабатываемой вручную;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l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кан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кабеля прокладываемого в канализации.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Рекомендуемое %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ное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в способах производства работ по прокладке кабеля: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бестраншейная прокладка – 75 85%;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прокладка в траншею, разрабатываемую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мехспособом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15 10%;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прокладка в траншею, разрабатываемую вручную – 10 5%;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прокладка в канализации – 3 4 км на город.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зарплаты при устройстве перехода через крупные судоходные реки принять в 10 – 15 раз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стоимость прокладки кабелеукладчиком через мелкие несудоходные реки.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составления локальной сметы составляется объектная смета (объединяющая в своем составе данные из локальных смет в целом на объект) на строительство линейных сооружений на участок ОРП – ОРП.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оценки экономичности проекта определяются показатели единичной стоимости, т.е. стоимости 1 канало – километра и 1 км трассы проектируемой магистрали.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 показатели определяются по формулам:</w:t>
            </w:r>
          </w:p>
          <w:p w:rsidR="005A054C" w:rsidRPr="005A054C" w:rsidRDefault="00976F1B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600075"/>
                  <wp:effectExtent l="0" t="0" r="0" b="9525"/>
                  <wp:docPr id="17" name="Рисунок 17" descr="D:\Направляющие системы электросвязи курсовая_files\Image9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Направляющие системы электросвязи курсовая_files\Image9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(9.2)</w:t>
            </w:r>
          </w:p>
          <w:p w:rsidR="005A054C" w:rsidRPr="005A054C" w:rsidRDefault="00976F1B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600075"/>
                  <wp:effectExtent l="0" t="0" r="0" b="9525"/>
                  <wp:docPr id="18" name="Рисунок 18" descr="D:\Направляющие системы электросвязи курсовая_files\Image9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Направляющие системы электросвязи курсовая_files\Image9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руб. (9.3)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Сравнивая полученные показатели аналогичных объектов, можно судить о правильности принятых в проекте решений.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– нормативная трудоемкость в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чел–час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сметная заработная плата в рублях рассчитывается и используется для планирования деятельности строительных организаций.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  <w:p w:rsidR="005A054C" w:rsidRPr="005A054C" w:rsidRDefault="005A054C" w:rsidP="005A0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муфт по трассе:</w:t>
            </w:r>
          </w:p>
          <w:p w:rsidR="005A054C" w:rsidRPr="005A054C" w:rsidRDefault="00976F1B" w:rsidP="005A05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542925"/>
                  <wp:effectExtent l="0" t="0" r="9525" b="9525"/>
                  <wp:docPr id="19" name="Рисунок 19" descr="D:\Направляющие системы электросвязи курсовая_files\Image9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Направляющие системы электросвязи курсовая_files\Image9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(9.4)</w:t>
            </w:r>
          </w:p>
          <w:p w:rsidR="005A054C" w:rsidRPr="005A054C" w:rsidRDefault="005A054C" w:rsidP="005A0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муфт в колодцах кабельной канализации:</w:t>
            </w:r>
          </w:p>
          <w:p w:rsidR="005A054C" w:rsidRPr="005A054C" w:rsidRDefault="00976F1B" w:rsidP="005A05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19175" cy="542925"/>
                  <wp:effectExtent l="0" t="0" r="9525" b="9525"/>
                  <wp:docPr id="20" name="Рисунок 20" descr="D:\Направляющие системы электросвязи курсовая_files\Image9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Направляющие системы электросвязи курсовая_files\Image9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(9.5)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с.д</w:t>
            </w:r>
            <w:proofErr w:type="spell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.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=2 км.</w:t>
            </w:r>
          </w:p>
          <w:p w:rsidR="005A054C" w:rsidRPr="005A054C" w:rsidRDefault="005A054C" w:rsidP="005A0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муфт: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n=</w:t>
            </w:r>
            <w:proofErr w:type="spellStart"/>
            <w:proofErr w:type="gramStart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тр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+n</w:t>
            </w:r>
            <w:r w:rsidRPr="005A054C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кан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(9.6)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курсовой работе необходимо составить объектную смету в соответствии с таблицей 9.3.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9.3 Объектная смета на строительство линейных сооружений на участке ОРП – ОРП.</w:t>
            </w:r>
          </w:p>
          <w:tbl>
            <w:tblPr>
              <w:tblW w:w="38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4445"/>
              <w:gridCol w:w="2165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работ и затрат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Сметная стоимость,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Прокладка и монтаж кабеля 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Временные здания и сооружения 3,2%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Зимнее удорожание 4,5%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Непредвиденные расходы 1,5%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4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Итого по смете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</w:p>
              </w:tc>
              <w:tc>
                <w:tcPr>
                  <w:tcW w:w="1500" w:type="pct"/>
                  <w:vAlign w:val="center"/>
                  <w:hideMark/>
                </w:tcPr>
                <w:p w:rsidR="005A054C" w:rsidRPr="005A054C" w:rsidRDefault="005A054C" w:rsidP="005A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 РАСЧЕТ ПАРАМЕТРОВ НАДЕЖНОСТИ ВОЛП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Требуемая быстрота и точность передачи информации средствами электросвязи обеспечиваются высоким качеством работы всех звеньев сети электросвязи: предприятий, линий связи, технических средств. Обобщающим показателем работы сре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св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язи является надежность.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Надежность – комплексное свойство, которое в зависимости от условий строительства и эксплуатации, может включать долговечность, ремонтопригодность и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либо определенное сочетание этих параметров. Надежность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свойство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проектировании должна быть произведена оценка показателей надежности. В курсовой работе необходимо рассчитать коэффициент готовности (Кг) и время наработки на отказ (То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готовности кабеля (ВОЛС) – вероятность того, что кабель (ВОЛС) окажется в работоспособном состоянии в произвольный момент времени, кроме планируемых периодов, в течение которых он подвергается профилактическому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контролю.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Наработка на отказ – среднее значение времени наработки между двумя последовательными отказами.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Время восстановления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продолжительность восстановления работоспособного состояния двух или нескольких ОВ.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Требуемые показатели надежности для внутризоновой первичной сети (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ВзПС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и магистральной первичной сети (СМП) ВСС РФ с максимальной протяженностью </w:t>
            </w:r>
            <w:proofErr w:type="spellStart"/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(без резервирования) приведены в таблицах 10.1 и 10.2 в соответствии с РД 45.047 – 99.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Таблица 10.1 – Показатели надежности для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ВзПС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= 1400 км</w:t>
            </w:r>
          </w:p>
          <w:tbl>
            <w:tblPr>
              <w:tblW w:w="38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1749"/>
              <w:gridCol w:w="1881"/>
              <w:gridCol w:w="1586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7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Показатель надежности</w:t>
                  </w:r>
                </w:p>
              </w:tc>
              <w:tc>
                <w:tcPr>
                  <w:tcW w:w="1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Канал ТЧ или ОЦК независимо от применяемой системы передачи</w:t>
                  </w:r>
                </w:p>
              </w:tc>
              <w:tc>
                <w:tcPr>
                  <w:tcW w:w="10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Канал ОЦК на перспективной цифровой сети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7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Коэффициент готовности</w:t>
                  </w:r>
                </w:p>
              </w:tc>
              <w:tc>
                <w:tcPr>
                  <w:tcW w:w="1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&gt;0,99</w:t>
                  </w:r>
                </w:p>
              </w:tc>
              <w:tc>
                <w:tcPr>
                  <w:tcW w:w="10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&gt;0,998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7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Среднее время между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отказами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,ч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ас</w:t>
                  </w:r>
                  <w:proofErr w:type="spellEnd"/>
                </w:p>
              </w:tc>
              <w:tc>
                <w:tcPr>
                  <w:tcW w:w="1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&gt;111,4</w:t>
                  </w:r>
                </w:p>
              </w:tc>
              <w:tc>
                <w:tcPr>
                  <w:tcW w:w="10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&gt;2050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&gt;350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7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Время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восстановления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,ч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ас</w:t>
                  </w:r>
                  <w:proofErr w:type="spellEnd"/>
                </w:p>
              </w:tc>
              <w:tc>
                <w:tcPr>
                  <w:tcW w:w="1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&lt;1,1</w:t>
                  </w:r>
                </w:p>
              </w:tc>
              <w:tc>
                <w:tcPr>
                  <w:tcW w:w="10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&lt;4,24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Таблица 10.2 – Показатели надежности для СМП,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= 12500 км</w:t>
            </w:r>
          </w:p>
          <w:tbl>
            <w:tblPr>
              <w:tblW w:w="35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1749"/>
              <w:gridCol w:w="1881"/>
              <w:gridCol w:w="1586"/>
            </w:tblGrid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7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Показатель надежности</w:t>
                  </w:r>
                </w:p>
              </w:tc>
              <w:tc>
                <w:tcPr>
                  <w:tcW w:w="1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Канал ТЧ или ОЦК независимо от применяемой системы передачи</w:t>
                  </w:r>
                </w:p>
              </w:tc>
              <w:tc>
                <w:tcPr>
                  <w:tcW w:w="10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Канал ОЦК на перспективной цифровой сети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7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Коэффициент готовности</w:t>
                  </w:r>
                </w:p>
              </w:tc>
              <w:tc>
                <w:tcPr>
                  <w:tcW w:w="1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&gt;0,92</w:t>
                  </w:r>
                </w:p>
              </w:tc>
              <w:tc>
                <w:tcPr>
                  <w:tcW w:w="10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&gt;0,982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7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Среднее время между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отказами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,ч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ас</w:t>
                  </w:r>
                  <w:proofErr w:type="spellEnd"/>
                </w:p>
              </w:tc>
              <w:tc>
                <w:tcPr>
                  <w:tcW w:w="1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&gt;12,54</w:t>
                  </w:r>
                </w:p>
              </w:tc>
              <w:tc>
                <w:tcPr>
                  <w:tcW w:w="10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&gt;230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&gt;40</w:t>
                  </w:r>
                </w:p>
              </w:tc>
            </w:tr>
            <w:tr w:rsidR="005A054C" w:rsidRPr="005A054C">
              <w:trPr>
                <w:tblCellSpacing w:w="7" w:type="dxa"/>
                <w:jc w:val="center"/>
              </w:trPr>
              <w:tc>
                <w:tcPr>
                  <w:tcW w:w="17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Время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восстановления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,ч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ас</w:t>
                  </w:r>
                  <w:proofErr w:type="spellEnd"/>
                </w:p>
              </w:tc>
              <w:tc>
                <w:tcPr>
                  <w:tcW w:w="13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&lt;1,1</w:t>
                  </w:r>
                </w:p>
              </w:tc>
              <w:tc>
                <w:tcPr>
                  <w:tcW w:w="10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&lt;4,24</w:t>
                  </w:r>
                </w:p>
              </w:tc>
              <w:tc>
                <w:tcPr>
                  <w:tcW w:w="850" w:type="pct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A054C" w:rsidRPr="005A054C">
              <w:trPr>
                <w:trHeight w:val="219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hideMark/>
                </w:tcPr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Примечание</w:t>
                  </w: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: Для оборудования линейных трактов на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ВзПС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СМП должно быть:</w:t>
                  </w:r>
                </w:p>
                <w:p w:rsidR="005A054C" w:rsidRPr="005A054C" w:rsidRDefault="005A054C" w:rsidP="005A054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время восстановления НР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П-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Тв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нрп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&lt; 2,5 час (в том числе время подъезда-2 часа);</w:t>
                  </w:r>
                </w:p>
                <w:p w:rsidR="005A054C" w:rsidRPr="005A054C" w:rsidRDefault="005A054C" w:rsidP="005A054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время восстановления ОРП, ОП 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орп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&lt; 0,5 час;</w:t>
                  </w:r>
                </w:p>
                <w:p w:rsidR="005A054C" w:rsidRPr="005A054C" w:rsidRDefault="005A054C" w:rsidP="005A0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время восстановления О</w:t>
                  </w:r>
                  <w:proofErr w:type="gram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Тв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ок</w:t>
                  </w:r>
                  <w:proofErr w:type="spellEnd"/>
                  <w:r w:rsidRPr="005A05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&lt; 10 час (в том числе время подъезда 3,5 часа)</w:t>
                  </w:r>
                </w:p>
              </w:tc>
            </w:tr>
          </w:tbl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число (плотность) отказов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внешних повреждений на 100 км. кабеля в год: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0,34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Тогда интенсивность отказов 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час на длине трассы ВОЛП (L)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определится как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A054C" w:rsidRPr="005A054C" w:rsidRDefault="00976F1B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390525"/>
                  <wp:effectExtent l="0" t="0" r="0" b="9525"/>
                  <wp:docPr id="21" name="Рисунок 21" descr="D:\Направляющие системы электросвязи курсовая_files\Image9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Направляющие системы электросвязи курсовая_files\Image9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(10.1)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L – длина проектируемой магистрали: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8760 – количество часов в году.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существующей на эксплуатации стратегии восстановления, начинающегося с момента обнаружения отказа (аварии)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оэффициент простоя (неготовности) определяется по формуле:</w:t>
            </w:r>
          </w:p>
          <w:p w:rsidR="005A054C" w:rsidRPr="005A054C" w:rsidRDefault="00976F1B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428625"/>
                  <wp:effectExtent l="0" t="0" r="0" b="9525"/>
                  <wp:docPr id="22" name="Рисунок 22" descr="D:\Направляющие системы электросвязи курсовая_files\Image9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Направляющие системы электросвязи курсовая_files\Image9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(10.2)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время восстановления (из табл. 10.1 и 10.2)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коэффициент готовности:</w:t>
            </w:r>
          </w:p>
          <w:p w:rsidR="005A054C" w:rsidRPr="005A054C" w:rsidRDefault="00976F1B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428625"/>
                  <wp:effectExtent l="0" t="0" r="9525" b="9525"/>
                  <wp:docPr id="23" name="Рисунок 23" descr="D:\Направляющие системы электросвязи курсовая_files\Image9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Направляющие системы электросвязи курсовая_files\Image9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(10.3)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длине канала (магистрали) L не равной </w:t>
            </w:r>
            <w:proofErr w:type="spellStart"/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среднее время между отказами определяется как:</w:t>
            </w:r>
          </w:p>
          <w:p w:rsidR="005A054C" w:rsidRPr="005A054C" w:rsidRDefault="00976F1B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390525"/>
                  <wp:effectExtent l="0" t="0" r="0" b="9525"/>
                  <wp:docPr id="24" name="Рисунок 24" descr="D:\Направляющие системы электросвязи курсовая_files\Image9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Направляющие системы электросвязи курсовая_files\Image9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(10.4)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средне значение времени между двумя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</w:t>
            </w:r>
            <w:proofErr w:type="gramEnd"/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из табл. 10.1 и 10.2.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случаев эксплуатации ВОЛП на основе оптимальной стратегии восстановления, начинающегося с обнаружения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предотказного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состояния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технической эксплуатации (ОТЭ), т.е. повреждения, необходимо для инженерных расчетов показателей надежности использовать выражение:</w:t>
            </w:r>
          </w:p>
          <w:p w:rsidR="005A054C" w:rsidRPr="005A054C" w:rsidRDefault="00976F1B" w:rsidP="005A05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428625"/>
                  <wp:effectExtent l="0" t="0" r="9525" b="9525"/>
                  <wp:docPr id="25" name="Рисунок 25" descr="D:\Направляющие системы электросвязи курсовая_files\Image9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Направляющие системы электросвязи курсовая_files\Image9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4C"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(10.5)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t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время подъезда (из табл. 10.2).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курсовой работе необходимо сравнить полученные значения параметров надежности с нормативными показателями, сделать выводы. 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Методические указания к курсовой работе “Проект магистральной (внутризоновой) ВОЛП” по курсу “Направляющие системы”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Редактор: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Корректор</w:t>
            </w:r>
            <w:proofErr w:type="gram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:.</w:t>
            </w:r>
            <w:proofErr w:type="gramEnd"/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 № 20475, январь 1998 г., подписано в печать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 бумаги 62х84 1/…… Бумага писчая № 1. Уч. изд. листов 1, 0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Тираж – 300 экз. Типография </w:t>
            </w:r>
            <w:proofErr w:type="spellStart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СибГУТИ</w:t>
            </w:r>
            <w:proofErr w:type="spellEnd"/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630120, г. Новосибирск, ул. Кирова. 86.</w:t>
            </w:r>
          </w:p>
          <w:p w:rsidR="005A054C" w:rsidRPr="005A054C" w:rsidRDefault="005A054C" w:rsidP="005A05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 №</w:t>
            </w:r>
          </w:p>
        </w:tc>
      </w:tr>
    </w:tbl>
    <w:p w:rsidR="005A054C" w:rsidRPr="005A054C" w:rsidRDefault="005A054C" w:rsidP="005A0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5A054C" w:rsidRPr="005A054C" w:rsidRDefault="005A054C" w:rsidP="005A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5A054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назад</w:t>
        </w:r>
      </w:hyperlink>
    </w:p>
    <w:p w:rsidR="005A054C" w:rsidRPr="005A054C" w:rsidRDefault="005A054C" w:rsidP="005A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54C" w:rsidRPr="005A054C" w:rsidRDefault="005A054C" w:rsidP="005A054C">
      <w:pPr>
        <w:rPr>
          <w:rFonts w:ascii="Times New Roman" w:hAnsi="Times New Roman" w:cs="Times New Roman"/>
          <w:sz w:val="28"/>
          <w:szCs w:val="28"/>
        </w:rPr>
      </w:pPr>
    </w:p>
    <w:sectPr w:rsidR="005A054C" w:rsidRPr="005A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8C0"/>
    <w:multiLevelType w:val="multilevel"/>
    <w:tmpl w:val="AB30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A4772"/>
    <w:multiLevelType w:val="multilevel"/>
    <w:tmpl w:val="5FA0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F1150"/>
    <w:multiLevelType w:val="multilevel"/>
    <w:tmpl w:val="A7B6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10F"/>
    <w:multiLevelType w:val="multilevel"/>
    <w:tmpl w:val="49A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34F2C"/>
    <w:multiLevelType w:val="multilevel"/>
    <w:tmpl w:val="3C64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60009"/>
    <w:multiLevelType w:val="multilevel"/>
    <w:tmpl w:val="F86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67292"/>
    <w:multiLevelType w:val="multilevel"/>
    <w:tmpl w:val="3ECA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A096E"/>
    <w:multiLevelType w:val="multilevel"/>
    <w:tmpl w:val="F95E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12F5E"/>
    <w:multiLevelType w:val="multilevel"/>
    <w:tmpl w:val="D1D2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72C21"/>
    <w:multiLevelType w:val="multilevel"/>
    <w:tmpl w:val="6AD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C"/>
    <w:rsid w:val="00332A8E"/>
    <w:rsid w:val="0049028C"/>
    <w:rsid w:val="005A054C"/>
    <w:rsid w:val="00874DED"/>
    <w:rsid w:val="009160CB"/>
    <w:rsid w:val="009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54C"/>
  </w:style>
  <w:style w:type="paragraph" w:styleId="a3">
    <w:name w:val="Normal (Web)"/>
    <w:basedOn w:val="a"/>
    <w:uiPriority w:val="99"/>
    <w:unhideWhenUsed/>
    <w:rsid w:val="005A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5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054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54C"/>
  </w:style>
  <w:style w:type="paragraph" w:styleId="a3">
    <w:name w:val="Normal (Web)"/>
    <w:basedOn w:val="a"/>
    <w:uiPriority w:val="99"/>
    <w:unhideWhenUsed/>
    <w:rsid w:val="005A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5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054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0.gif"/><Relationship Id="rId26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34" Type="http://schemas.openxmlformats.org/officeDocument/2006/relationships/hyperlink" Target="file:///C:\Users\%D0%90%D0%BD%D0%B4%D1%80%D0%B5%D0%B9\Desktop\%D1%83%D1%87%D0%B5%D0%B1%D0%B0%204%20%D1%81%D0%B5%D0%BC%D0%B5%D1%81%D1%82%D1%80\%D0%BD%D0%B0%D0%BF%D1%80%D0%B0%D0%B2%D0%BB%D1%8F%D1%8E%D1%89%D0%B8%D0%B5%20%D1%81%D0%B8%D1%81%D1%82%D0%B5%D0%BC%D1%8B%20%20%D1%8D%D0%BB%D0%B5%D0%BA%D1%82%D1%80%D0%BE%D1%81%D0%B2%D1%8F%D0%B7%D0%B8\intro.htm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file:///C:\Users\%D0%90%D0%BD%D0%B4%D1%80%D0%B5%D0%B9\Desktop\%D1%83%D1%87%D0%B5%D0%B1%D0%B0%204%20%D1%81%D0%B5%D0%BC%D0%B5%D1%81%D1%82%D1%80\%D0%BD%D0%B0%D0%BF%D1%80%D0%B0%D0%B2%D0%BB%D1%8F%D1%8E%D1%89%D0%B8%D0%B5%20%D1%81%D0%B8%D1%81%D1%82%D0%B5%D0%BC%D1%8B%20%20%D1%8D%D0%BB%D0%B5%D0%BA%D1%82%D1%80%D0%BE%D1%81%D0%B2%D1%8F%D0%B7%D0%B8\img\Image2.GIF" TargetMode="External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2" Type="http://schemas.openxmlformats.org/officeDocument/2006/relationships/styles" Target="styles.xml"/><Relationship Id="rId16" Type="http://schemas.openxmlformats.org/officeDocument/2006/relationships/hyperlink" Target="file:///C:\Users\%D0%90%D0%BD%D0%B4%D1%80%D0%B5%D0%B9\Desktop\%D1%83%D1%87%D0%B5%D0%B1%D0%B0%204%20%D1%81%D0%B5%D0%BC%D0%B5%D1%81%D1%82%D1%80\%D0%BD%D0%B0%D0%BF%D1%80%D0%B0%D0%B2%D0%BB%D1%8F%D1%8E%D1%89%D0%B8%D0%B5%20%D1%81%D0%B8%D1%81%D1%82%D0%B5%D0%BC%D1%8B%20%20%D1%8D%D0%BB%D0%B5%D0%BA%D1%82%D1%80%D0%BE%D1%81%D0%B2%D1%8F%D0%B7%D0%B8\img\Image1.GIF" TargetMode="External"/><Relationship Id="rId20" Type="http://schemas.openxmlformats.org/officeDocument/2006/relationships/image" Target="media/image12.gif"/><Relationship Id="rId29" Type="http://schemas.openxmlformats.org/officeDocument/2006/relationships/image" Target="media/image20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file:///C:\Users\%D0%90%D0%BD%D0%B4%D1%80%D0%B5%D0%B9\Desktop\%D1%83%D1%87%D0%B5%D0%B1%D0%B0%204%20%D1%81%D0%B5%D0%BC%D0%B5%D1%81%D1%82%D1%80\%D0%BD%D0%B0%D0%BF%D1%80%D0%B0%D0%B2%D0%BB%D1%8F%D1%8E%D1%89%D0%B8%D0%B5%20%D1%81%D0%B8%D1%81%D1%82%D0%B5%D0%BC%D1%8B%20%20%D1%8D%D0%BB%D0%B5%D0%BA%D1%82%D1%80%D0%BE%D1%81%D0%B2%D1%8F%D0%B7%D0%B8\img\Image7.GIF" TargetMode="External"/><Relationship Id="rId32" Type="http://schemas.openxmlformats.org/officeDocument/2006/relationships/image" Target="media/image23.gif"/><Relationship Id="rId5" Type="http://schemas.openxmlformats.org/officeDocument/2006/relationships/webSettings" Target="webSettings.xml"/><Relationship Id="rId15" Type="http://schemas.openxmlformats.org/officeDocument/2006/relationships/hyperlink" Target="file:///C:\Users\%D0%90%D0%BD%D0%B4%D1%80%D0%B5%D0%B9\Desktop\%D1%83%D1%87%D0%B5%D0%B1%D0%B0%204%20%D1%81%D0%B5%D0%BC%D0%B5%D1%81%D1%82%D1%80\%D0%BD%D0%B0%D0%BF%D1%80%D0%B0%D0%B2%D0%BB%D1%8F%D1%8E%D1%89%D0%B8%D0%B5%20%D1%81%D0%B8%D1%81%D1%82%D0%B5%D0%BC%D1%8B%20%20%D1%8D%D0%BB%D0%B5%D0%BA%D1%82%D1%80%D0%BE%D1%81%D0%B2%D1%8F%D0%B7%D0%B8\img\Image6.GIF" TargetMode="External"/><Relationship Id="rId23" Type="http://schemas.openxmlformats.org/officeDocument/2006/relationships/image" Target="media/image15.gif"/><Relationship Id="rId28" Type="http://schemas.openxmlformats.org/officeDocument/2006/relationships/image" Target="media/image19.gif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1.gif"/><Relationship Id="rId31" Type="http://schemas.openxmlformats.org/officeDocument/2006/relationships/image" Target="media/image22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4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2017-03-05T12:12:00Z</dcterms:created>
  <dcterms:modified xsi:type="dcterms:W3CDTF">2017-03-05T13:31:00Z</dcterms:modified>
</cp:coreProperties>
</file>