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указания к выполнению контрольной работы</w:t>
      </w:r>
    </w:p>
    <w:p w:rsid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на контрольную работу "Технико-экономический проект развития ГТС"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ru-RU"/>
        </w:rPr>
        <w:t>Последние цифры пароля 15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варианта контрольной работы производится по последней цифре пароля.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Исходные данные для каждого студента представлены в следующем виде:</w:t>
      </w:r>
    </w:p>
    <w:p w:rsidR="00E11F1B" w:rsidRPr="00E11F1B" w:rsidRDefault="00E11F1B" w:rsidP="00E11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Ёмкость проектируемой АТС, номеров ____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11F1B" w:rsidRPr="00E11F1B" w:rsidRDefault="00E11F1B" w:rsidP="00E11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соединительных линий от проектируемой А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 к др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угим АТС и УВС (исходящие/входящие):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АТС 1 ___ /___                УВС 1 ___ / __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АТС 2 ___ /___                 УВС 2 ___ / __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АТС 3 ___ /___                 УВС 3 ___ / __</w:t>
      </w:r>
    </w:p>
    <w:p w:rsidR="00E11F1B" w:rsidRPr="00E11F1B" w:rsidRDefault="00E11F1B" w:rsidP="00E11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между проектируемой АТС и другими АТС и УВС: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АТС 1 ____                 УВС 1 ____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АТС 2 ____                 УВС 2 ____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АТС 3 ____                 УВС 3 ____</w:t>
      </w:r>
    </w:p>
    <w:p w:rsidR="00E11F1B" w:rsidRPr="00E11F1B" w:rsidRDefault="00E11F1B" w:rsidP="00E11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длина прямых линий, км _____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11F1B" w:rsidRPr="00E11F1B" w:rsidRDefault="00E11F1B" w:rsidP="00E11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длина ЗСЛ, км ____.</w:t>
      </w:r>
    </w:p>
    <w:p w:rsidR="00E11F1B" w:rsidRPr="00E11F1B" w:rsidRDefault="00E11F1B" w:rsidP="00E11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Средняя длина абонентских линий,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районированной городской телефонной сети с узлами входящих сообщений (УВС) планируется ввод в действие станции в одном из узловых районов.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по ёмкости проектируемой станции приведены в таблице 1.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1 - Емкость проектируемой АТС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755"/>
        <w:gridCol w:w="755"/>
        <w:gridCol w:w="755"/>
        <w:gridCol w:w="570"/>
        <w:gridCol w:w="755"/>
        <w:gridCol w:w="663"/>
        <w:gridCol w:w="755"/>
        <w:gridCol w:w="755"/>
        <w:gridCol w:w="755"/>
        <w:gridCol w:w="1040"/>
      </w:tblGrid>
      <w:tr w:rsidR="00E11F1B" w:rsidRPr="00E11F1B" w:rsidTr="006B7955">
        <w:trPr>
          <w:tblCellSpacing w:w="7" w:type="dxa"/>
        </w:trPr>
        <w:tc>
          <w:tcPr>
            <w:tcW w:w="10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варианта по последней цифре пароля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0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Емкость проектируемой АТС, номеров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соединительных линий от проектируемой А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 к др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угим АТС и УВС приведено в таблице 2.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2 - Количество соединительных линий от проектируемой А</w:t>
      </w:r>
      <w:proofErr w:type="gramStart"/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ТС к др</w:t>
      </w:r>
      <w:proofErr w:type="gramEnd"/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угим АТС и УВС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838"/>
        <w:gridCol w:w="838"/>
        <w:gridCol w:w="838"/>
        <w:gridCol w:w="838"/>
        <w:gridCol w:w="746"/>
        <w:gridCol w:w="665"/>
        <w:gridCol w:w="746"/>
        <w:gridCol w:w="746"/>
        <w:gridCol w:w="746"/>
        <w:gridCol w:w="939"/>
      </w:tblGrid>
      <w:tr w:rsidR="00E11F1B" w:rsidRPr="00E11F1B" w:rsidTr="006B7955">
        <w:trPr>
          <w:tblCellSpacing w:w="7" w:type="dxa"/>
        </w:trPr>
        <w:tc>
          <w:tcPr>
            <w:tcW w:w="8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и станции</w:t>
            </w:r>
          </w:p>
        </w:tc>
        <w:tc>
          <w:tcPr>
            <w:tcW w:w="420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-/195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-/220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-/174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-/199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-/210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-/190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-/175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-/185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УВС 2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155/-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190/-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180/-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3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150/-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137/-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165/-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170/-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163/-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43/47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82/84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97/99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57/59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44/46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77/79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83/85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93/97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100/110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2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65/87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87/90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87/89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56/76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67/89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87/98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120/112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3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98/65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65/87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67/65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72/69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84/89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65/76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67/75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67/8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99/97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между проектируемой АТС и другими УВС и АТС приведены в таблице 3.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3 - Расстояние между проектируемой АТС и другими УВС и АТС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755"/>
        <w:gridCol w:w="755"/>
        <w:gridCol w:w="848"/>
        <w:gridCol w:w="848"/>
        <w:gridCol w:w="848"/>
        <w:gridCol w:w="848"/>
        <w:gridCol w:w="848"/>
        <w:gridCol w:w="848"/>
        <w:gridCol w:w="848"/>
        <w:gridCol w:w="948"/>
      </w:tblGrid>
      <w:tr w:rsidR="00E11F1B" w:rsidRPr="00E11F1B" w:rsidTr="006B7955">
        <w:trPr>
          <w:tblCellSpacing w:w="7" w:type="dxa"/>
        </w:trPr>
        <w:tc>
          <w:tcPr>
            <w:tcW w:w="55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и станции</w:t>
            </w:r>
          </w:p>
        </w:tc>
        <w:tc>
          <w:tcPr>
            <w:tcW w:w="445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 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УВС 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УВС 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5.4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6.8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3.9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2.9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7.4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 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АТС 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АТС 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2.3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3.6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4.9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5.9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4.8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Средние длины абонентских линий, заказно-соединительных линий и прямых линий приведены в таблице 4.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Таблица 4 - Средние длины </w:t>
      </w:r>
      <w:proofErr w:type="gramStart"/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</w:t>
      </w:r>
      <w:proofErr w:type="gramEnd"/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ЗСЛ и прямых линий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663"/>
        <w:gridCol w:w="755"/>
        <w:gridCol w:w="755"/>
        <w:gridCol w:w="755"/>
        <w:gridCol w:w="848"/>
        <w:gridCol w:w="755"/>
        <w:gridCol w:w="941"/>
        <w:gridCol w:w="848"/>
        <w:gridCol w:w="848"/>
        <w:gridCol w:w="762"/>
      </w:tblGrid>
      <w:tr w:rsidR="00E11F1B" w:rsidRPr="00E11F1B" w:rsidTr="006B7955">
        <w:trPr>
          <w:tblCellSpacing w:w="7" w:type="dxa"/>
        </w:trPr>
        <w:tc>
          <w:tcPr>
            <w:tcW w:w="8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0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по последней цифре пароля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длина абонентских линий, </w:t>
            </w:r>
            <w:proofErr w:type="gramStart"/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длина прямых линий, </w:t>
            </w:r>
            <w:proofErr w:type="gramStart"/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ЗСЛ, км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работы необходимо сделать следующее: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сравнительный анализ АТС с различным типом коммутационного оборудования.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 оценку конкурентоспособности АТС с различным типом коммутационного оборудования и различных фирм - изготовителей.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Описать применяемые способы построения ГТС.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технико-экономический расчет по проекту наиболее конкурентоспособной АТС.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Рассчитать показатели экономической эффективности.</w:t>
      </w:r>
    </w:p>
    <w:p w:rsidR="00E11F1B" w:rsidRPr="00E11F1B" w:rsidRDefault="00E11F1B" w:rsidP="00E11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выводы на основании проведённых расчётов.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и указания к выполнению работы: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АТС следует начинать с краткого обзора применяемых в настоящее время типов коммутационного оборудования городских телефонных станций, указать перспективы их развития.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оценки конкурентоспособности АТС следует считать, что конкурентоспособность - это сравнительная характеристика товара, содержащая комплексную оценку всей совокупности его качественных и экономических параметров относительно выявленных требований рынка или свой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др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угого товара.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Комплексная оценка совокупности свойств товара, определяющая его конкурентоспособность, складывается из трех групп параметров: технических, экономических и нормативных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определения уровня конкурентоспособности АТС и выработки правильной стратегии ГТС оценку следует производить по схеме, предоставленной на рисунке 1.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оценки и выбора конкурентоспособной АТС следующий: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 таблица, в которой каждая строка соответствует определенному типу коммутационного оборудования, а каждый столбец - оценочному показателю, по совокупности, которых производится сравнение и определяется оптимальный вариант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242560" cy="5852160"/>
            <wp:effectExtent l="19050" t="0" r="0" b="0"/>
            <wp:docPr id="1" name="Рисунок 1" descr="C:\Users\Stepanov.VV\Desktop\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ov.VV\Desktop\img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8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E11F1B" w:rsidRPr="00E11F1B" w:rsidTr="00E11F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1 - Схема оценки конкурентоспособности АТС.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оценочных показателей может быть любым, но не менее 7.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оценки и выбора оптимальной системы коммутации с программным управлением различных фирм - производителей предлагаются следующие КС: S - 12, EWSD, AXE, Linea UT, DX - 200, MT - 20, ЭЛКОМ. 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исходных параметров предлагаются следующие параметры: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емкость (тыс. номеров);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Наработка на отказ (тыс. ч. до первого отказа);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 потребляемая мощность (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/номер);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для размещения станции емкостью 10 тыс. номеров (м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 нагрузка на абонентскую линию, Эрл/лин.;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 нагрузка на соединительную линию, Эрл/лин.;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Производительность узловой станции, млн. выз./ЧНН;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соединительных линий, тыс.;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Суммарная нагрузка, кЭрл.;</w:t>
      </w:r>
    </w:p>
    <w:p w:rsidR="00E11F1B" w:rsidRPr="00E11F1B" w:rsidRDefault="00E11F1B" w:rsidP="00E11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отказов оборудования в год на 10000 номеров, ед.;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Оценочные характеристики рассматриваемых коммутационных систем приведены в таблице 5.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5 - Технические характеристики сравниваемых КС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663"/>
        <w:gridCol w:w="663"/>
        <w:gridCol w:w="663"/>
        <w:gridCol w:w="755"/>
        <w:gridCol w:w="755"/>
        <w:gridCol w:w="755"/>
        <w:gridCol w:w="755"/>
        <w:gridCol w:w="848"/>
        <w:gridCol w:w="848"/>
        <w:gridCol w:w="670"/>
      </w:tblGrid>
      <w:tr w:rsidR="00E11F1B" w:rsidRPr="00E11F1B" w:rsidTr="006B7955">
        <w:trPr>
          <w:tblCellSpacing w:w="7" w:type="dxa"/>
        </w:trPr>
        <w:tc>
          <w:tcPr>
            <w:tcW w:w="11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коммутационной системы</w:t>
            </w:r>
          </w:p>
        </w:tc>
        <w:tc>
          <w:tcPr>
            <w:tcW w:w="390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 – 12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EWSD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Linea UT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AXE 10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MT – 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DX – 200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1.35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1.50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2.60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2.60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0.6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36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0.2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0.88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0.8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0.85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0.07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0.1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53.5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25.2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123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165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---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оценочные показатели имеют различные единицы измерения и являются величинами различного порядка, целесообразно осуществить приведение разнородных показателей к относительному виду следующим образом: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каждом столбце таблицы 5 отыскивается лучший из сравниваемых оценочных показателей; лучшее максимальное значение целесообразно подчеркнуть, а показатель, требующий минимизации обозначить звездочкой;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найденный в каждом столбце лучший оценочный показатель приравнивается единице, а все остальные значения показателей выражаются в долях единицы по отношению к лучшему;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составляется новая таблица 6 из полученных безразмерных величин оценочных показателей.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6 - Матрица относительных (единичных) показателей.</w:t>
      </w:r>
    </w:p>
    <w:tbl>
      <w:tblPr>
        <w:tblW w:w="820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905"/>
      </w:tblGrid>
      <w:tr w:rsidR="00E11F1B" w:rsidRPr="00E11F1B" w:rsidTr="006B7955">
        <w:trPr>
          <w:tblCellSpacing w:w="7" w:type="dxa"/>
        </w:trPr>
        <w:tc>
          <w:tcPr>
            <w:tcW w:w="13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коммутационной системы</w:t>
            </w:r>
          </w:p>
        </w:tc>
        <w:tc>
          <w:tcPr>
            <w:tcW w:w="370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сравнения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S-12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EWSD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Linea UT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AXE-10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MT-20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DX-200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учета неодинаковой важности оценочных показателей, их необходимо проранжировать, проставляя оценки значимости по 10-ти балльной шкале, результаты представить в таблице 7: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7 Расчет коэффициента значимости оценочных показателей</w:t>
      </w:r>
    </w:p>
    <w:tbl>
      <w:tblPr>
        <w:tblW w:w="832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4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11"/>
        <w:gridCol w:w="754"/>
      </w:tblGrid>
      <w:tr w:rsidR="00E11F1B" w:rsidRPr="00E11F1B" w:rsidTr="006B7955">
        <w:trPr>
          <w:trHeight w:val="465"/>
          <w:tblCellSpacing w:w="7" w:type="dxa"/>
        </w:trPr>
        <w:tc>
          <w:tcPr>
            <w:tcW w:w="13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</w:p>
        </w:tc>
      </w:tr>
      <w:tr w:rsidR="00E11F1B" w:rsidRPr="00E11F1B" w:rsidTr="006B7955">
        <w:trPr>
          <w:trHeight w:val="615"/>
          <w:tblCellSpacing w:w="7" w:type="dxa"/>
        </w:trPr>
        <w:tc>
          <w:tcPr>
            <w:tcW w:w="13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Значимость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баллах, В</w:t>
            </w:r>
            <w:proofErr w:type="gramStart"/>
            <w:r w:rsidRPr="00E11F1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rHeight w:val="540"/>
          <w:tblCellSpacing w:w="7" w:type="dxa"/>
        </w:trPr>
        <w:tc>
          <w:tcPr>
            <w:tcW w:w="13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значимости, S</w:t>
            </w:r>
            <w:r w:rsidRPr="00E11F1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</w:p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расчете коэффициентов значимости использовать формулу: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295400"/>
            <wp:effectExtent l="0" t="0" r="0" b="0"/>
            <wp:docPr id="2" name="Рисунок 2" descr="C:\Users\Stepanov.VV\Desktop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nov.VV\Desktop\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,где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S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значимости i-го оценочного показателя;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значимость i-го оценочного показателя в баллах.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данной процедуры следует соблюдать условие: сумма коэффициентов значимости по всем оценочным показателям должна быть равна единице;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наиболее конкурентоспособной коммутационной системы, необходимо проделать следующее: относительные величины оценочных показателей каждого столбца таблицы 6 умножаются на соответствующие им коэффициенты значимости таблицы 7, результаты записываются в новую таблицу 8.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Таблица 8 - Расчет коэффициентов конкурентоспособности.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54"/>
        <w:gridCol w:w="1501"/>
      </w:tblGrid>
      <w:tr w:rsidR="00E11F1B" w:rsidRPr="00E11F1B" w:rsidTr="006B7955">
        <w:trPr>
          <w:tblCellSpacing w:w="7" w:type="dxa"/>
        </w:trPr>
        <w:tc>
          <w:tcPr>
            <w:tcW w:w="1100" w:type="pct"/>
            <w:vMerge w:val="restar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коммутационной системы</w:t>
            </w:r>
          </w:p>
        </w:tc>
        <w:tc>
          <w:tcPr>
            <w:tcW w:w="3100" w:type="pct"/>
            <w:gridSpan w:val="10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Оценочные показатели</w:t>
            </w:r>
          </w:p>
        </w:tc>
        <w:tc>
          <w:tcPr>
            <w:tcW w:w="800" w:type="pct"/>
            <w:vMerge w:val="restart"/>
            <w:shd w:val="clear" w:color="auto" w:fill="C0C0C0"/>
            <w:vAlign w:val="bottom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S-12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EWSD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Linea UT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AXE-10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MT-20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DX-200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11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ЭЛКОМ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из строк таблицы 8 определяется сумма S. Максимальное значение суммы S соответствует наиболее конкурентоспособной коммутационной системе из числа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сравниваемых при выборе.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контрольной работе необходимо описать способы построения ГТС.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 рассматриваемая в контрольной работе сеть разделена на три узловых района. Проектируемая АТС является четвертой станцией узлового района, обслуживаемого УВС - 1.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контрольной работе необходимо показать на схеме связь проектируемой телефонной станции с районными АТС своего узлового района, а также со всеми УВС городской телефонной сети.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Технико-экономический расчет необходимо осуществлять для АТС, которая ранее по итогам расчетов была признана наиболее конкурентоспособной.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Расчет должен выполняться в определенной последовательности и включать следующие этапы:</w:t>
      </w:r>
    </w:p>
    <w:p w:rsidR="00E11F1B" w:rsidRPr="00E11F1B" w:rsidRDefault="00E11F1B" w:rsidP="00E11F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объема линейных сооружений проектируемой АТС;</w:t>
      </w:r>
    </w:p>
    <w:p w:rsidR="00E11F1B" w:rsidRPr="00E11F1B" w:rsidRDefault="00E11F1B" w:rsidP="00E11F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капитальных затрат на строительство и ввод в эксплуатацию проектируемой АТС;</w:t>
      </w:r>
    </w:p>
    <w:p w:rsidR="00E11F1B" w:rsidRPr="00E11F1B" w:rsidRDefault="00E11F1B" w:rsidP="00E11F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годовых затрат на эксплуатацию проектируемой АТС;</w:t>
      </w:r>
    </w:p>
    <w:p w:rsidR="00E11F1B" w:rsidRPr="00E11F1B" w:rsidRDefault="00E11F1B" w:rsidP="00E11F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предполагаемых разовых и текущих доходов.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Определение объема линейных сооружений является основой для расчета капитальных затрат, производственного персонала, расходов на эксплуатацию.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объема линейных сооружений состоит из расчета протяженности, емкости кабеля и телефонной канализации для организации межстанционной связи; абонентских линий; прямых линий и Заказно - соединительных линий (зсл).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расстояний из таблицы 3 исходных данных будет представлять собой суммарную протяженность соединительных линий; в таблице 4 содержится протяженность ЗСЛ. Протяженность абонентских линий определяется перемножением 96 % емкости станции на среднюю длину абонентских линий, оставшиеся 4 % отводятся под прямые линии, протяженность которых соответственно определяется перемножением 4% емкости станции на среднюю длину прямых линий.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Заказно - соединительных и прямых линий определяется как доля от настраиваемой емкости АТС: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ЗСЛ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N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АТС - 4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* d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ЗСЛ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ПРЛ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N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АТС - 4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* d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ПРЛ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        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АТС - 4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-монтированная емкость проектируемой АТС,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ЗСЛ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0,01 (для заказно-соединительных линий);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ПРЛ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0,04 (для прямых линий).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4.2.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капитальных затрат на строительство и ввод в эксплуатацию новой А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ТС скл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адывается из затрат на строительство станционных и гражданских сооружений; сеть линейно-кабельных сооружений и оборудования систем передачи и регенерационных пунктов. Для определения суммарной величины капитальных вложений необходимо рассчитать затраты по каждому виду вводимых сооружений.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Капитальные затраты на станционное оборудование определяется укрупненным методом: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К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* N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АТС - 4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(4.4.)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удельные капитальные затраты на приобретение оборудования;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удельные капитальные затраты на монтаж оборудования.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 удельных кап. затрат на приобретение и монтаж,т.е. (К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К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различных станций такова: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 -12 – 150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EWSD – 180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Linea VT – 170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AXE – 10 – 200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MT – 20 – 100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Dx – 200 – 200 у.е.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ЭЛКОМ – 100 у.е.</w:t>
      </w:r>
      <w:proofErr w:type="gramEnd"/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Капитальные затраты на строительство линейных сооружений абонентской сети проектируемой АТС определяются перемножением стоимости кабеля с учетом монтажа на количество кабеля. Протяженность кабеля равна протяженности линий, определенной в пункте 4.1. Стоимость кабеля с учетом монтажа: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 – 995 у.е. за 1 км;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ЗСЛ – 850 у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.е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1 км;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АЛ, ПРЛ - 2 у.е. за 1 км.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Капитальные затраты на гражданские сооружения можно определить укрупнено: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зд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= 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атс - 4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 К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зд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          (4.7)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S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атс - 4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площадь, необходимая для установки станции (в среднем 75 м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зд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удельные капитальные затраты на гражданские сооружения, руб./м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(эта величина равна 50 у.е. для всех видов станций).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 Капитальные затраты на оконечные системы передачи и регенерационные пункты (НРП) определяются перемножением их стоимости на количество. В контрольной работе предполагается использование 30-ти канальных систем передачи ИКМ-30. Количество 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систем передачи определяется делением числа соединительных линий по направлениям (в том числе и для направления зсл) на 30 и округлением полученной величины в большую сторону, результат далее умножается на 2, тем самым учитывается то, что системы стоят как на передающей, так и на приемной части. При определении количества НРП принимается во внимание протяженность линии на каждом направлении и то, что длина регенерационного участка равна 2 км.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Стоимость ИКМ –30 = 2000 у.е. за ед., стоимость НРП = 400 у.е. за ед.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результаты расчета капитальных затрат необходимо свести в таблицу.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4.3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Расчет годовых затрат на эксплуатацию вводимого оборудования складывается из следующих основных статей затрат: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оплату труда (ФОТ);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единый социальный налог (35,9 %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ФОТ);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амортизационные отчисления;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материалы и запасные части;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электроэнергию со стороны для производственных нужд;</w:t>
      </w:r>
    </w:p>
    <w:p w:rsidR="00E11F1B" w:rsidRPr="00E11F1B" w:rsidRDefault="00E11F1B" w:rsidP="00E11F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прочие затраты.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расчета фонда оплаты труда необходимо определить численность штата производственного персонала. Определение численности работников производится для обслуживания линейного оборудования и станционных сооружений.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работников станционного цеха определяется в зависимости от типа станции: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приказа № 128 –д.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станции МТ 20 и Элком численность персонала станционного цеха: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 1-й категории – 1 шт.ед.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Инженер-электроник 2-й категории – 2 шт. ед.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Электромеханик – 1 шт. ед.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остальных цифровых станций зарубежного производства: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Инженер-электроник 1-й категории - 1 шт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.е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Инженер-электроник 2-й категории – 1 шт. ед.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Инженер-электроник 3-й категории – 2 шт. ед.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Инженер- программист 2-й категории – 1 шт. ед.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электромонтеров по обслуживанию телефонной канализации рассчитывается по следующей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∑L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 – км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= 1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эл-монт.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——————— * h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кан - км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 кан - км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протяженность телефонной канализации на i – м направлении, кан. - км;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кан - км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норматив на одного работника, зависящий от средней емкости телефонной канализации, кан - км;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- число направлений от проектируемой АТС к другим УВС, АТС;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h - коэффициент, учитывающий увеличение численности работников за счет подмены на время очередных отпусков, h=1,08.</w:t>
      </w:r>
      <w:proofErr w:type="gramEnd"/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рассматриваемой контрольной работе в расчетах предполагается, что средняя емкость телефонной канализации составляет 2 канала. Поэтому для определения протяженности канализации в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канало-км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каждом i –том направлении необходимо расстояние (до соответствующей АТС или УВС) умножить на число 2. Также необходимо учесть и зсл как отдельное направление – в этом случае для определения 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 кан – км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 необходимо умножить среднюю длину зсл также на число 2.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норматива 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кан – км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контрольной работе используется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величина120 кан. – км.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численности работников по обслуживанию кабельных сооружений определяется: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∑L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 - пар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= 1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каб-сп.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——————— * h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км - пар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 км - пар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протяженность кабеля в км – парах на i – м направлении;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км - пар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норматив на одного кабельщика - спайщика, зависящий от средней емкости кабеля.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пар кабеля равно количеству соединительных линий на каждом направлении.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емкость кабеля рассчитывается следующим образом: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∑L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 км - пар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= 1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———————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        ∑ L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i км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= 1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норматива L' 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км - пар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пользоваться следующей таблицей: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9 Нормативы для определения численности кабельщиков-спайщиков для технического обслуживания линейно-кабельных сооружений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2"/>
        <w:gridCol w:w="5381"/>
      </w:tblGrid>
      <w:tr w:rsidR="00E11F1B" w:rsidRPr="00E11F1B" w:rsidTr="006B7955">
        <w:trPr>
          <w:trHeight w:val="1650"/>
          <w:tblCellSpacing w:w="7" w:type="dxa"/>
        </w:trPr>
        <w:tc>
          <w:tcPr>
            <w:tcW w:w="22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Средняя емкость кабеля, пар.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 обслуживания на одного работника, </w:t>
            </w:r>
            <w:proofErr w:type="gramStart"/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пар</w:t>
            </w:r>
          </w:p>
        </w:tc>
      </w:tr>
      <w:tr w:rsidR="00E11F1B" w:rsidRPr="00E11F1B" w:rsidTr="006B7955">
        <w:trPr>
          <w:trHeight w:val="1380"/>
          <w:tblCellSpacing w:w="7" w:type="dxa"/>
        </w:trPr>
        <w:tc>
          <w:tcPr>
            <w:tcW w:w="22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– 299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– 499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и выше</w:t>
            </w:r>
          </w:p>
        </w:tc>
        <w:tc>
          <w:tcPr>
            <w:tcW w:w="2800" w:type="pct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Расчет численности работников по обслуживанию таксофонов осуществляется по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90700" cy="678180"/>
            <wp:effectExtent l="19050" t="0" r="0" b="0"/>
            <wp:docPr id="5" name="Рисунок 5" descr="C:\Users\Stepanov.VV\Desktop\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panov.VV\Desktop\img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ткф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таксофонов (в работе определяется как 1% от емкости станции);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норматив по обслуживанию на одного электромонтера, зависящий от наличия средств автоматизации таксофонов (= 80).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Расчет численности работников по обслуживанию абонентских устрой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пр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оизводится по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(4.15.)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кв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это количество абонентских пунктов на кабельном вводе (N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кв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0,99 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мон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вв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это количество абонентских пунктов воздушном вводе(N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вв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0,01 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мон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N’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кв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,N’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вв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нормативы на обслуживание.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N’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кв</w:t>
      </w:r>
      <w:r w:rsidRPr="00E11F1B">
        <w:rPr>
          <w:rFonts w:ascii="Arial" w:eastAsia="Times New Roman" w:hAnsi="Arial" w:cs="Arial"/>
          <w:color w:val="000000"/>
          <w:sz w:val="27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2500;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N’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вв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700.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мон</w:t>
      </w:r>
      <w:r w:rsidRPr="00E11F1B">
        <w:rPr>
          <w:rFonts w:ascii="Arial" w:eastAsia="Times New Roman" w:hAnsi="Arial" w:cs="Arial"/>
          <w:color w:val="000000"/>
          <w:sz w:val="27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монтированная емкость станции.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Расчет численности работников по обслуживанию систем передачи осуществляется по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       </w:t>
      </w:r>
      <w:r w:rsidR="003E467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55420" cy="830580"/>
            <wp:effectExtent l="19050" t="0" r="0" b="0"/>
            <wp:docPr id="7" name="Рисунок 7" descr="C:\Users\Stepanov.VV\Desktop\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panov.VV\Desktop\img2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i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количество оконечных 30 - канальных систем;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H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i</w:t>
      </w:r>
      <w:r w:rsidRPr="00E11F1B">
        <w:rPr>
          <w:rFonts w:ascii="Arial" w:eastAsia="Times New Roman" w:hAnsi="Arial" w:cs="Arial"/>
          <w:color w:val="000000"/>
          <w:sz w:val="27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норматив в чел - часах на обслуживание одной 30- канальной системы;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</w:t>
      </w: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ме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с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месячный фонд рабочего времени, час. (= 166,7 ч)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Техническое обслуживание (ТО) систем передачи: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Текущее техническое обслуживание ТТО          Н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сп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4,5 чел/ час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Текущий ремонт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                                           Н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сп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6,3 чел/ час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ТТО         Н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нрп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2,0 чел/час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Н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нрп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1,0 чел/час.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расчета численности работников следует свести в таблицу 10.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10 - Численность работников для проектируемой АТС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3"/>
        <w:gridCol w:w="5280"/>
      </w:tblGrid>
      <w:tr w:rsidR="00E11F1B" w:rsidRPr="00E11F1B" w:rsidTr="006B7955">
        <w:trPr>
          <w:tblCellSpacing w:w="7" w:type="dxa"/>
        </w:trPr>
        <w:tc>
          <w:tcPr>
            <w:tcW w:w="22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pct"/>
            <w:shd w:val="clear" w:color="auto" w:fill="C0C0C0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22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Станционный цех</w:t>
            </w:r>
          </w:p>
          <w:p w:rsidR="00E11F1B" w:rsidRPr="00E11F1B" w:rsidRDefault="00E11F1B" w:rsidP="00E11F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I категории·</w:t>
            </w:r>
          </w:p>
          <w:p w:rsidR="00E11F1B" w:rsidRPr="00E11F1B" w:rsidRDefault="00E11F1B" w:rsidP="00E11F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– электроник II категории·</w:t>
            </w:r>
          </w:p>
          <w:p w:rsidR="00E11F1B" w:rsidRPr="00E11F1B" w:rsidRDefault="00E11F1B" w:rsidP="00E11F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2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22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Линейный цех·</w:t>
            </w:r>
          </w:p>
          <w:p w:rsidR="00E11F1B" w:rsidRPr="00E11F1B" w:rsidRDefault="00E11F1B" w:rsidP="00E11F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Электромонтеры по обслуживанию телефонной канализации</w:t>
            </w:r>
          </w:p>
          <w:p w:rsidR="00E11F1B" w:rsidRPr="00E11F1B" w:rsidRDefault="00E11F1B" w:rsidP="00E11F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Электромонтеры по обслуживанию таксофонов</w:t>
            </w:r>
          </w:p>
          <w:p w:rsidR="00E11F1B" w:rsidRPr="00E11F1B" w:rsidRDefault="00E11F1B" w:rsidP="00E11F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Электромонтеры по обслуживанию абонентских пунктов</w:t>
            </w:r>
          </w:p>
          <w:p w:rsidR="00E11F1B" w:rsidRPr="00E11F1B" w:rsidRDefault="00E11F1B" w:rsidP="00E11F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Кабельщики – спайщики по обслуживанию кабельных сооружений</w:t>
            </w:r>
          </w:p>
          <w:p w:rsidR="00E11F1B" w:rsidRPr="00E11F1B" w:rsidRDefault="00E11F1B" w:rsidP="00E11F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по обслуживанию систем передачи</w:t>
            </w:r>
          </w:p>
        </w:tc>
        <w:tc>
          <w:tcPr>
            <w:tcW w:w="28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22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8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фонд оплаты труда ФОТ считаем по следующей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 = ∑ М*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*12*К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М – численность работников,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средняя заработная плата (3000 руб.)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районный коэффициент (1,25)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Амортизационные отчисления рассчитываются следующим образом: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n</w:t>
      </w:r>
      <w:r w:rsidRPr="00E11F1B">
        <w:rPr>
          <w:rFonts w:ascii="Arial" w:eastAsia="Times New Roman" w:hAnsi="Arial" w:cs="Arial"/>
          <w:color w:val="000000"/>
          <w:sz w:val="27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ам.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      ∑Ф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*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/100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i = 1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стоимость оборудования i -го вида,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годовая норма амортизации: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коммутационного оборудования = 3,5%,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гражданских сооружений = 3 %,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линейных сооружений = 7,2 %,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систем передачи = 5,2 %.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электроэнергию определяются по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эл.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N*P*24*365*m/(k*1000),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– емкость АТС,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P – удельная потребляемая мощность,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/номер,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 – тариф за 1 квт-ч, руб.,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 – КПД выпрямительной установки (0,95).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материалы и запчасти составляют 6 % в общей структуре затрат, то есть определяются по следующей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мз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фот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соц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.н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ам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эл.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)*0,06/0,84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Прочие расходы составляют 10 % в общей структуре затрат и определяются так: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мз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фот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соц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.н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ам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эл.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)*0,1/0,84.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всех затрат сводится в одну таблицу.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определить величину предполагаемых доходов.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4.4.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Расчёт доходов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Расчёт разовых доходов: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Разовые доходы состоят из платы за предоставление доступа к сети, и рассчитываются исходя из двух категорий абонентов: квартирного (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.с.) и народнохозяйственного (н-х.с.) сектора.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Доля абонентов 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.с. – 80% 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ёмкости АТС.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Доля абонентов н-х.с. – 20% от ёмкости АТС.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11 Расчёт разовых доходов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3"/>
        <w:gridCol w:w="1253"/>
        <w:gridCol w:w="1634"/>
        <w:gridCol w:w="2206"/>
        <w:gridCol w:w="2117"/>
      </w:tblGrid>
      <w:tr w:rsidR="00E11F1B" w:rsidRPr="00E11F1B" w:rsidTr="006B7955">
        <w:trPr>
          <w:trHeight w:val="285"/>
          <w:tblCellSpacing w:w="7" w:type="dxa"/>
        </w:trPr>
        <w:tc>
          <w:tcPr>
            <w:tcW w:w="12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6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Тариф, руб.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абонентов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предоставления услуг, тыс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предоставления услуг без НДС тыс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</w:p>
        </w:tc>
      </w:tr>
      <w:tr w:rsidR="00E11F1B" w:rsidRPr="00E11F1B" w:rsidTr="006B7955">
        <w:trPr>
          <w:trHeight w:val="3645"/>
          <w:tblCellSpacing w:w="7" w:type="dxa"/>
        </w:trPr>
        <w:tc>
          <w:tcPr>
            <w:tcW w:w="12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Предоставление доступа к телефонной сети для абонентов квартирного сектора</w:t>
            </w:r>
          </w:p>
        </w:tc>
        <w:tc>
          <w:tcPr>
            <w:tcW w:w="6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rHeight w:val="285"/>
          <w:tblCellSpacing w:w="7" w:type="dxa"/>
        </w:trPr>
        <w:tc>
          <w:tcPr>
            <w:tcW w:w="12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Предоставление доступа к телефонной сети для абонентов народно-хозяственного сектора</w:t>
            </w:r>
          </w:p>
        </w:tc>
        <w:tc>
          <w:tcPr>
            <w:tcW w:w="65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rHeight w:val="285"/>
          <w:tblCellSpacing w:w="7" w:type="dxa"/>
        </w:trPr>
        <w:tc>
          <w:tcPr>
            <w:tcW w:w="3850" w:type="pct"/>
            <w:gridSpan w:val="4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Примечание: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Ставка НДС = 20%.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Расчёт текущих доходов: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Текущие доходы состоят из абонементной платы 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</w:t>
      </w:r>
      <w:proofErr w:type="gramEnd"/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индивидуального пользования, абонементной платы за прямые линии, охранную сигнализацию и за пользование дополнительными видами обслуживания (ДВО).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12 Расчёт текущих доходов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1"/>
        <w:gridCol w:w="1234"/>
        <w:gridCol w:w="1293"/>
        <w:gridCol w:w="866"/>
        <w:gridCol w:w="866"/>
        <w:gridCol w:w="812"/>
        <w:gridCol w:w="1562"/>
        <w:gridCol w:w="1569"/>
      </w:tblGrid>
      <w:tr w:rsidR="00E11F1B" w:rsidRPr="00E11F1B" w:rsidTr="006B7955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абонен-тов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абонен-тов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Тариф, руб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предоставления услуг, тыс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предоставления услуг без НДС тыс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750" w:type="pct"/>
            <w:vMerge w:val="restar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Абонементная плата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ТА индивид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ользования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rHeight w:val="45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прямые линии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Народно-хоз. сектор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ТА индивид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ользования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rHeight w:val="495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прямые линии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Охранная сигнализация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Народно-хоз. сектор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ДВО</w:t>
            </w: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Квартирный сектор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Народно-хоз. сектор</w:t>
            </w:r>
          </w:p>
        </w:tc>
        <w:tc>
          <w:tcPr>
            <w:tcW w:w="5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7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pct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F1B" w:rsidRPr="00E11F1B" w:rsidTr="006B7955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E11F1B" w:rsidRPr="00E11F1B" w:rsidRDefault="00E11F1B" w:rsidP="00E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E11F1B" w:rsidRPr="00E11F1B" w:rsidRDefault="00E11F1B" w:rsidP="00E1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Годовая выручка от предоставления услуг =…*12</w:t>
            </w:r>
          </w:p>
        </w:tc>
      </w:tr>
    </w:tbl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Примечание:</w:t>
      </w:r>
    </w:p>
    <w:p w:rsidR="00E11F1B" w:rsidRPr="00E11F1B" w:rsidRDefault="00E11F1B" w:rsidP="00E1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Ставка НДС = 20%.</w:t>
      </w:r>
    </w:p>
    <w:p w:rsidR="00E11F1B" w:rsidRPr="00E11F1B" w:rsidRDefault="00E11F1B" w:rsidP="00E1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Расчёт производился в предположении, что в среднем 10% абонентов пользуются тремя видами ДВО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всех трёх видов ДВО принята одинаковой).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показателей экономической эффективности.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этап контрольной работы предполагает расчет следующих показателей: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Прибыль – это абсолютный показатель эффективности производства. Его расчет производится по формуле: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сумма текущих доходов,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текущих расходов,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прибыль общая, руб.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* (1-СНО),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чистая прибыль,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прибыль общая,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 – ставка налога на прибыль (24 %)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Срок окупаемости: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ок.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(К – 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раз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)/ 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К – сумма капитальных затрат,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раз.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сумма разовых доходов, руб.</w:t>
      </w:r>
      <w:r w:rsidRPr="00E11F1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чистая прибыль,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ок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.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 окупаемости, лет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Затратная рентабельность: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 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*100% / 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тек.,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чист.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чистая прибыль, руб.,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текущих расходов, руб.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proofErr w:type="gramEnd"/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затратная рентабельность, %.</w:t>
      </w:r>
    </w:p>
    <w:p w:rsidR="00E11F1B" w:rsidRPr="00E11F1B" w:rsidRDefault="00E11F1B" w:rsidP="00E11F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Себестоимость ста рублей доходов:</w:t>
      </w:r>
    </w:p>
    <w:p w:rsidR="00E11F1B" w:rsidRPr="00E11F1B" w:rsidRDefault="00E11F1B" w:rsidP="00E11F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= 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*100 / 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1F1B" w:rsidRPr="00E11F1B" w:rsidRDefault="00E11F1B" w:rsidP="00E11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где Э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текущих расходов, руб.,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11F1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тек.</w:t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сумма текущих доходов, руб.,</w:t>
      </w:r>
      <w:r w:rsidRPr="00E11F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11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– себестоимость 100 рублей доходов, руб.</w:t>
      </w:r>
    </w:p>
    <w:p w:rsidR="00E559D4" w:rsidRDefault="00E559D4"/>
    <w:sectPr w:rsidR="00E559D4" w:rsidSect="00E5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A7B"/>
    <w:multiLevelType w:val="multilevel"/>
    <w:tmpl w:val="84C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22ABB"/>
    <w:multiLevelType w:val="multilevel"/>
    <w:tmpl w:val="134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526CD"/>
    <w:multiLevelType w:val="multilevel"/>
    <w:tmpl w:val="9B3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F4BD9"/>
    <w:multiLevelType w:val="multilevel"/>
    <w:tmpl w:val="30E6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747AD"/>
    <w:multiLevelType w:val="multilevel"/>
    <w:tmpl w:val="F9B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74A9A"/>
    <w:multiLevelType w:val="multilevel"/>
    <w:tmpl w:val="587E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801FE"/>
    <w:multiLevelType w:val="multilevel"/>
    <w:tmpl w:val="2320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F0C62"/>
    <w:multiLevelType w:val="multilevel"/>
    <w:tmpl w:val="6518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F31C3"/>
    <w:multiLevelType w:val="multilevel"/>
    <w:tmpl w:val="9182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E11F1B"/>
    <w:rsid w:val="003E4676"/>
    <w:rsid w:val="006B7955"/>
    <w:rsid w:val="00E11F1B"/>
    <w:rsid w:val="00E5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F1B"/>
    <w:rPr>
      <w:b/>
      <w:bCs/>
    </w:rPr>
  </w:style>
  <w:style w:type="character" w:customStyle="1" w:styleId="apple-converted-space">
    <w:name w:val="apple-converted-space"/>
    <w:basedOn w:val="a0"/>
    <w:rsid w:val="00E11F1B"/>
  </w:style>
  <w:style w:type="paragraph" w:styleId="a5">
    <w:name w:val="Balloon Text"/>
    <w:basedOn w:val="a"/>
    <w:link w:val="a6"/>
    <w:uiPriority w:val="99"/>
    <w:semiHidden/>
    <w:unhideWhenUsed/>
    <w:rsid w:val="00E1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Валерий Валерьевич (PAPA - Stepanov.VV)</dc:creator>
  <cp:keywords/>
  <dc:description/>
  <cp:lastModifiedBy>Степанов Валерий Валерьевич (PAPA - Stepanov.VV)</cp:lastModifiedBy>
  <cp:revision>3</cp:revision>
  <dcterms:created xsi:type="dcterms:W3CDTF">2017-01-20T09:16:00Z</dcterms:created>
  <dcterms:modified xsi:type="dcterms:W3CDTF">2017-01-20T09:45:00Z</dcterms:modified>
</cp:coreProperties>
</file>