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61" w:rsidRDefault="00254661" w:rsidP="00254661">
      <w:pPr>
        <w:pStyle w:val="1"/>
      </w:pPr>
      <w:bookmarkStart w:id="0" w:name="_Toc363284933"/>
      <w:r>
        <w:t>Задача 3.</w:t>
      </w:r>
      <w:r>
        <w:br/>
        <w:t>Переходные процессы в линейных электрических цепях</w:t>
      </w:r>
      <w:bookmarkEnd w:id="0"/>
    </w:p>
    <w:p w:rsidR="00254661" w:rsidRDefault="00254661" w:rsidP="00254661">
      <w:pPr>
        <w:pStyle w:val="2"/>
        <w:rPr>
          <w:szCs w:val="24"/>
        </w:rPr>
      </w:pPr>
    </w:p>
    <w:p w:rsidR="00254661" w:rsidRDefault="00254661" w:rsidP="009612D9">
      <w:pPr>
        <w:pStyle w:val="2"/>
        <w:rPr>
          <w:szCs w:val="24"/>
        </w:rPr>
      </w:pPr>
      <w:r>
        <w:rPr>
          <w:szCs w:val="24"/>
        </w:rPr>
        <w:t>Задана электрическая цепь, в которой происходит коммутация (рис. 3-1 – рис. 3-10).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91"/>
      </w:tblGrid>
      <w:tr w:rsidR="009612D9" w:rsidTr="00CA7B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2D9" w:rsidRDefault="009612D9" w:rsidP="00CA7BA4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3675" w:dyaOrig="2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2" type="#_x0000_t75" style="width:183.75pt;height:124.5pt" o:ole="">
                  <v:imagedata r:id="rId4" o:title=""/>
                </v:shape>
                <o:OLEObject Type="Embed" ProgID="Word.Picture.8" ShapeID="_x0000_i1122" DrawAspect="Content" ObjectID="_1546109635" r:id="rId5"/>
              </w:object>
            </w:r>
          </w:p>
        </w:tc>
      </w:tr>
      <w:tr w:rsidR="009612D9" w:rsidTr="00CA7B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2D9" w:rsidRDefault="009612D9" w:rsidP="00CA7BA4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Рис. 3.9</w:t>
            </w:r>
          </w:p>
        </w:tc>
      </w:tr>
    </w:tbl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цепи действует постоянная ЭДС </w:t>
      </w:r>
      <w:r>
        <w:rPr>
          <w:i/>
          <w:sz w:val="28"/>
        </w:rPr>
        <w:t>Е</w:t>
      </w:r>
      <w:r>
        <w:rPr>
          <w:sz w:val="28"/>
        </w:rPr>
        <w:t>. Определить закон изменения во времени тока после коммутации в одной из ветвей схемы или напряжения на каком-либо элементе или между заданными точками схемы.</w:t>
      </w:r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Задачу следует решить двумя методами: классическим и операто</w:t>
      </w:r>
      <w:r>
        <w:rPr>
          <w:sz w:val="28"/>
        </w:rPr>
        <w:t>р</w:t>
      </w:r>
      <w:r>
        <w:rPr>
          <w:sz w:val="28"/>
        </w:rPr>
        <w:t xml:space="preserve">ным. На основании полученного аналитического выражения построить график изменения искомой величины в функции времени на интервале от </w:t>
      </w:r>
      <w:r>
        <w:rPr>
          <w:position w:val="-6"/>
          <w:sz w:val="28"/>
        </w:rPr>
        <w:object w:dxaOrig="540" w:dyaOrig="279">
          <v:shape id="_x0000_i1035" type="#_x0000_t75" style="width:27pt;height:14.25pt" o:ole="">
            <v:imagedata r:id="rId6" o:title=""/>
          </v:shape>
          <o:OLEObject Type="Embed" ProgID="Equation.3" ShapeID="_x0000_i1035" DrawAspect="Content" ObjectID="_1546109636" r:id="rId7"/>
        </w:object>
      </w:r>
      <w:r>
        <w:rPr>
          <w:sz w:val="28"/>
        </w:rPr>
        <w:t xml:space="preserve"> до </w:t>
      </w:r>
      <w:r>
        <w:rPr>
          <w:position w:val="-34"/>
          <w:sz w:val="28"/>
        </w:rPr>
        <w:object w:dxaOrig="960" w:dyaOrig="720">
          <v:shape id="_x0000_i1036" type="#_x0000_t75" style="width:48pt;height:36pt" o:ole="">
            <v:imagedata r:id="rId8" o:title=""/>
          </v:shape>
          <o:OLEObject Type="Embed" ProgID="Equation.3" ShapeID="_x0000_i1036" DrawAspect="Content" ObjectID="_1546109637" r:id="rId9"/>
        </w:object>
      </w:r>
      <w:r>
        <w:rPr>
          <w:sz w:val="28"/>
        </w:rPr>
        <w:t xml:space="preserve">. Здесь </w:t>
      </w:r>
      <w:r>
        <w:rPr>
          <w:position w:val="-14"/>
          <w:sz w:val="28"/>
        </w:rPr>
        <w:object w:dxaOrig="560" w:dyaOrig="400">
          <v:shape id="_x0000_i1037" type="#_x0000_t75" style="width:27.75pt;height:20.25pt" o:ole="">
            <v:imagedata r:id="rId10" o:title=""/>
          </v:shape>
          <o:OLEObject Type="Embed" ProgID="Equation.3" ShapeID="_x0000_i1037" DrawAspect="Content" ObjectID="_1546109638" r:id="rId11"/>
        </w:object>
      </w:r>
      <w:r>
        <w:rPr>
          <w:sz w:val="28"/>
        </w:rPr>
        <w:t xml:space="preserve"> – меньший по модулю корень характеристич</w:t>
      </w:r>
      <w:r>
        <w:rPr>
          <w:sz w:val="28"/>
        </w:rPr>
        <w:t>е</w:t>
      </w:r>
      <w:r>
        <w:rPr>
          <w:sz w:val="28"/>
        </w:rPr>
        <w:t>ского уравнения.</w:t>
      </w:r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Параметры цепи даны в табл. 3.</w:t>
      </w:r>
    </w:p>
    <w:p w:rsidR="00254661" w:rsidRDefault="00254661" w:rsidP="00254661">
      <w:pPr>
        <w:spacing w:line="360" w:lineRule="auto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928"/>
        <w:gridCol w:w="765"/>
        <w:gridCol w:w="728"/>
        <w:gridCol w:w="803"/>
        <w:gridCol w:w="765"/>
        <w:gridCol w:w="765"/>
        <w:gridCol w:w="803"/>
        <w:gridCol w:w="803"/>
        <w:gridCol w:w="1233"/>
      </w:tblGrid>
      <w:tr w:rsidR="00254661" w:rsidTr="00CA7B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661" w:rsidRPr="009612D9" w:rsidRDefault="00254661" w:rsidP="00CA7BA4">
            <w:pPr>
              <w:spacing w:line="360" w:lineRule="auto"/>
              <w:jc w:val="right"/>
              <w:rPr>
                <w:sz w:val="28"/>
              </w:rPr>
            </w:pPr>
            <w:r w:rsidRPr="009612D9">
              <w:rPr>
                <w:sz w:val="28"/>
              </w:rPr>
              <w:t>Таблица 3</w:t>
            </w:r>
          </w:p>
        </w:tc>
      </w:tr>
      <w:tr w:rsidR="00254661" w:rsidTr="00CA7B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вар.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рис.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 xml:space="preserve">, </w:t>
            </w:r>
          </w:p>
          <w:p w:rsidR="00254661" w:rsidRDefault="00254661" w:rsidP="00CA7BA4">
            <w:pPr>
              <w:pStyle w:val="8"/>
            </w:pPr>
            <w:r>
              <w:t>В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L</w:t>
            </w:r>
            <w:r>
              <w:rPr>
                <w:sz w:val="28"/>
              </w:rPr>
              <w:t xml:space="preserve">, </w:t>
            </w:r>
            <w:r>
              <w:rPr>
                <w:i/>
                <w:iCs/>
                <w:sz w:val="28"/>
              </w:rPr>
              <w:t>мГн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, </w:t>
            </w:r>
            <w:r>
              <w:rPr>
                <w:i/>
                <w:iCs/>
                <w:sz w:val="28"/>
              </w:rPr>
              <w:t>мкФ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i/>
                <w:sz w:val="28"/>
                <w:vertAlign w:val="subscript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делить</w:t>
            </w:r>
          </w:p>
        </w:tc>
      </w:tr>
      <w:tr w:rsidR="00254661" w:rsidTr="00CA7B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pStyle w:val="8"/>
            </w:pPr>
            <w:r>
              <w:t>Ом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254661" w:rsidTr="00CA7B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9612D9">
              <w:rPr>
                <w:sz w:val="28"/>
                <w:lang w:val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9612D9">
              <w:rPr>
                <w:sz w:val="28"/>
                <w:lang w:val="en-US"/>
              </w:rPr>
              <w:t>3.9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9612D9">
              <w:rPr>
                <w:sz w:val="28"/>
                <w:lang w:val="en-US"/>
              </w:rPr>
              <w:t>200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9612D9">
              <w:rPr>
                <w:sz w:val="28"/>
                <w:lang w:val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9612D9">
              <w:rPr>
                <w:sz w:val="28"/>
                <w:lang w:val="en-US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9612D9">
              <w:rPr>
                <w:sz w:val="28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9612D9">
              <w:rPr>
                <w:sz w:val="28"/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9612D9">
              <w:rPr>
                <w:sz w:val="28"/>
                <w:lang w:val="en-U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9612D9">
              <w:rPr>
                <w:sz w:val="28"/>
                <w:lang w:val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61" w:rsidRPr="009612D9" w:rsidRDefault="00254661" w:rsidP="00CA7BA4">
            <w:pPr>
              <w:spacing w:line="360" w:lineRule="auto"/>
              <w:jc w:val="center"/>
              <w:rPr>
                <w:i/>
                <w:sz w:val="28"/>
                <w:vertAlign w:val="subscript"/>
                <w:lang w:val="en-US"/>
              </w:rPr>
            </w:pPr>
            <w:r w:rsidRPr="009612D9">
              <w:rPr>
                <w:i/>
                <w:sz w:val="28"/>
                <w:lang w:val="en-US"/>
              </w:rPr>
              <w:t>i</w:t>
            </w:r>
            <w:r w:rsidRPr="009612D9">
              <w:rPr>
                <w:i/>
                <w:sz w:val="28"/>
                <w:vertAlign w:val="subscript"/>
                <w:lang w:val="en-US"/>
              </w:rPr>
              <w:t>3</w:t>
            </w:r>
          </w:p>
        </w:tc>
      </w:tr>
    </w:tbl>
    <w:p w:rsidR="00254661" w:rsidRDefault="00254661" w:rsidP="00254661">
      <w:pPr>
        <w:spacing w:line="360" w:lineRule="auto"/>
        <w:jc w:val="center"/>
        <w:rPr>
          <w:sz w:val="28"/>
        </w:rPr>
      </w:pPr>
    </w:p>
    <w:p w:rsidR="00254661" w:rsidRDefault="00254661" w:rsidP="00254661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254661" w:rsidRDefault="00254661" w:rsidP="00254661">
      <w:pPr>
        <w:pStyle w:val="7"/>
      </w:pPr>
      <w:bookmarkStart w:id="1" w:name="_Toc363284934"/>
      <w:r>
        <w:lastRenderedPageBreak/>
        <w:t>Методические указания по решению задачи 3</w:t>
      </w:r>
      <w:bookmarkEnd w:id="1"/>
    </w:p>
    <w:p w:rsidR="00254661" w:rsidRDefault="00254661" w:rsidP="00254661">
      <w:pPr>
        <w:spacing w:line="360" w:lineRule="auto"/>
        <w:jc w:val="center"/>
        <w:rPr>
          <w:sz w:val="28"/>
        </w:rPr>
      </w:pPr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Уравнения для изображений в схеме (рис. 3.2) рекомендуется с</w:t>
      </w:r>
      <w:r>
        <w:rPr>
          <w:sz w:val="28"/>
        </w:rPr>
        <w:t>о</w:t>
      </w:r>
      <w:r>
        <w:rPr>
          <w:sz w:val="28"/>
        </w:rPr>
        <w:t>ставлять по методу узловых потенциалов (с учетом имеющихся в схеме внутренних ЭДС).</w:t>
      </w:r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На схеме, изображенной на рис. 3.7, для упрощения составления характеристического уравнения и уравнения для изображений левую часть (</w:t>
      </w:r>
      <w:r>
        <w:rPr>
          <w:i/>
          <w:sz w:val="28"/>
        </w:rPr>
        <w:t>Е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</w:rPr>
        <w:t>R</w:t>
      </w:r>
      <w:r>
        <w:rPr>
          <w:i/>
          <w:sz w:val="28"/>
          <w:vertAlign w:val="subscript"/>
        </w:rPr>
        <w:t>2</w:t>
      </w:r>
      <w:r>
        <w:rPr>
          <w:sz w:val="28"/>
          <w:vertAlign w:val="subscript"/>
        </w:rPr>
        <w:t xml:space="preserve">,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3</w:t>
      </w:r>
      <w:r>
        <w:rPr>
          <w:sz w:val="28"/>
        </w:rPr>
        <w:t>) рекомендуется в расчетном смысле заменить эквивалентным источником с некоторой ЭДС и некоторым внутренним сопротивлением.</w:t>
      </w:r>
    </w:p>
    <w:p w:rsidR="00254661" w:rsidRDefault="00254661" w:rsidP="00254661">
      <w:pPr>
        <w:ind w:firstLine="540"/>
        <w:jc w:val="both"/>
        <w:rPr>
          <w:sz w:val="28"/>
        </w:rPr>
      </w:pPr>
    </w:p>
    <w:p w:rsidR="00254661" w:rsidRDefault="00254661" w:rsidP="00254661">
      <w:pPr>
        <w:pStyle w:val="1"/>
      </w:pPr>
      <w:r>
        <w:br w:type="page"/>
      </w:r>
      <w:bookmarkStart w:id="2" w:name="_Toc363284935"/>
      <w:r>
        <w:lastRenderedPageBreak/>
        <w:t>Задача 4.</w:t>
      </w:r>
      <w:r>
        <w:br/>
        <w:t>Схемные функции линейных электрических цепей</w:t>
      </w:r>
      <w:bookmarkEnd w:id="2"/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Найти схемные функции </w:t>
      </w:r>
      <w:r>
        <w:rPr>
          <w:position w:val="-12"/>
          <w:sz w:val="28"/>
        </w:rPr>
        <w:object w:dxaOrig="740" w:dyaOrig="360">
          <v:shape id="_x0000_i1038" type="#_x0000_t75" style="width:36.75pt;height:18pt" o:ole="">
            <v:imagedata r:id="rId12" o:title=""/>
          </v:shape>
          <o:OLEObject Type="Embed" ProgID="Equation.3" ShapeID="_x0000_i1038" DrawAspect="Content" ObjectID="_1546109639" r:id="rId13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859" w:dyaOrig="360">
          <v:shape id="_x0000_i1039" type="#_x0000_t75" style="width:42.75pt;height:18pt" o:ole="">
            <v:imagedata r:id="rId14" o:title=""/>
          </v:shape>
          <o:OLEObject Type="Embed" ProgID="Equation.3" ShapeID="_x0000_i1039" DrawAspect="Content" ObjectID="_1546109640" r:id="rId15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740" w:dyaOrig="360">
          <v:shape id="_x0000_i1040" type="#_x0000_t75" style="width:36.75pt;height:18pt" o:ole="">
            <v:imagedata r:id="rId16" o:title=""/>
          </v:shape>
          <o:OLEObject Type="Embed" ProgID="Equation.3" ShapeID="_x0000_i1040" DrawAspect="Content" ObjectID="_1546109641" r:id="rId17"/>
        </w:object>
      </w:r>
      <w:r>
        <w:rPr>
          <w:sz w:val="28"/>
        </w:rPr>
        <w:t xml:space="preserve">, </w:t>
      </w:r>
      <w:r>
        <w:rPr>
          <w:position w:val="-10"/>
          <w:sz w:val="28"/>
        </w:rPr>
        <w:object w:dxaOrig="560" w:dyaOrig="320">
          <v:shape id="_x0000_i1041" type="#_x0000_t75" style="width:27.75pt;height:15.75pt" o:ole="">
            <v:imagedata r:id="rId18" o:title=""/>
          </v:shape>
          <o:OLEObject Type="Embed" ProgID="Equation.3" ShapeID="_x0000_i1041" DrawAspect="Content" ObjectID="_1546109642" r:id="rId19"/>
        </w:object>
      </w:r>
      <w:r>
        <w:rPr>
          <w:sz w:val="28"/>
        </w:rPr>
        <w:t xml:space="preserve">, </w:t>
      </w:r>
      <w:r>
        <w:rPr>
          <w:position w:val="-10"/>
          <w:sz w:val="28"/>
        </w:rPr>
        <w:object w:dxaOrig="440" w:dyaOrig="320">
          <v:shape id="_x0000_i1042" type="#_x0000_t75" style="width:21.75pt;height:15.75pt" o:ole="">
            <v:imagedata r:id="rId20" o:title=""/>
          </v:shape>
          <o:OLEObject Type="Embed" ProgID="Equation.3" ShapeID="_x0000_i1042" DrawAspect="Content" ObjectID="_1546109643" r:id="rId21"/>
        </w:object>
      </w:r>
      <w:r>
        <w:rPr>
          <w:sz w:val="28"/>
        </w:rPr>
        <w:t xml:space="preserve"> для сх</w:t>
      </w:r>
      <w:r>
        <w:rPr>
          <w:sz w:val="28"/>
        </w:rPr>
        <w:t>е</w:t>
      </w:r>
      <w:r>
        <w:rPr>
          <w:sz w:val="28"/>
        </w:rPr>
        <w:t>мы (рис. 4.1 – рис. 4.10), соответствующей заданному варианту.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64"/>
      </w:tblGrid>
      <w:tr w:rsidR="009612D9" w:rsidTr="00CA7B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2D9" w:rsidRDefault="009612D9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0"/>
              </w:rPr>
              <w:object w:dxaOrig="3242" w:dyaOrig="2417">
                <v:shape id="_x0000_i1131" type="#_x0000_t75" style="width:152.25pt;height:116.25pt" o:ole="">
                  <v:imagedata r:id="rId22" o:title=""/>
                </v:shape>
                <o:OLEObject Type="Embed" ProgID="Visio.Drawing.6" ShapeID="_x0000_i1131" DrawAspect="Content" ObjectID="_1546109644" r:id="rId23"/>
              </w:object>
            </w:r>
          </w:p>
        </w:tc>
      </w:tr>
      <w:tr w:rsidR="009612D9" w:rsidTr="00CA7B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2D9" w:rsidRDefault="009612D9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Рис. 4.8</w:t>
            </w:r>
          </w:p>
        </w:tc>
      </w:tr>
    </w:tbl>
    <w:p w:rsidR="00254661" w:rsidRDefault="00254661" w:rsidP="009612D9">
      <w:pPr>
        <w:spacing w:line="360" w:lineRule="auto"/>
        <w:jc w:val="both"/>
        <w:rPr>
          <w:sz w:val="28"/>
        </w:rPr>
      </w:pPr>
      <w:bookmarkStart w:id="3" w:name="_GoBack"/>
      <w:bookmarkEnd w:id="3"/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Представить временную диаграмму работы схемы, если на её вход поступает последовательность прямоугольных импульсов с амплитудой </w:t>
      </w:r>
      <w:r>
        <w:rPr>
          <w:position w:val="-12"/>
          <w:sz w:val="28"/>
        </w:rPr>
        <w:object w:dxaOrig="360" w:dyaOrig="360">
          <v:shape id="_x0000_i1053" type="#_x0000_t75" style="width:18pt;height:18pt" o:ole="">
            <v:imagedata r:id="rId24" o:title=""/>
          </v:shape>
          <o:OLEObject Type="Embed" ProgID="Equation.3" ShapeID="_x0000_i1053" DrawAspect="Content" ObjectID="_1546109645" r:id="rId25"/>
        </w:object>
      </w:r>
      <w:r>
        <w:rPr>
          <w:sz w:val="28"/>
        </w:rPr>
        <w:t xml:space="preserve">, периодом </w:t>
      </w:r>
      <w:r>
        <w:rPr>
          <w:position w:val="-4"/>
          <w:sz w:val="28"/>
        </w:rPr>
        <w:object w:dxaOrig="220" w:dyaOrig="260">
          <v:shape id="_x0000_i1054" type="#_x0000_t75" style="width:11.25pt;height:12.75pt" o:ole="">
            <v:imagedata r:id="rId26" o:title=""/>
          </v:shape>
          <o:OLEObject Type="Embed" ProgID="Equation.3" ShapeID="_x0000_i1054" DrawAspect="Content" ObjectID="_1546109646" r:id="rId27"/>
        </w:object>
      </w:r>
      <w:r>
        <w:rPr>
          <w:sz w:val="28"/>
        </w:rPr>
        <w:t xml:space="preserve"> и скважностью </w:t>
      </w:r>
      <w:r>
        <w:rPr>
          <w:position w:val="-10"/>
          <w:sz w:val="28"/>
        </w:rPr>
        <w:object w:dxaOrig="200" w:dyaOrig="260">
          <v:shape id="_x0000_i1055" type="#_x0000_t75" style="width:9.75pt;height:12.75pt" o:ole="">
            <v:imagedata r:id="rId28" o:title=""/>
          </v:shape>
          <o:OLEObject Type="Embed" ProgID="Equation.3" ShapeID="_x0000_i1055" DrawAspect="Content" ObjectID="_1546109647" r:id="rId29"/>
        </w:object>
      </w:r>
      <w:r>
        <w:rPr>
          <w:sz w:val="28"/>
        </w:rPr>
        <w:t>.</w:t>
      </w:r>
    </w:p>
    <w:p w:rsidR="00254661" w:rsidRDefault="00254661" w:rsidP="00254661">
      <w:pPr>
        <w:pStyle w:val="2"/>
        <w:rPr>
          <w:szCs w:val="24"/>
        </w:rPr>
      </w:pPr>
      <w:r>
        <w:rPr>
          <w:szCs w:val="24"/>
        </w:rPr>
        <w:t>Параметры входного сигнала и номиналы элементов схемы даны в табл. 4.</w:t>
      </w:r>
    </w:p>
    <w:p w:rsidR="00254661" w:rsidRDefault="00254661" w:rsidP="00254661">
      <w:pPr>
        <w:pStyle w:val="2"/>
        <w:rPr>
          <w:szCs w:val="24"/>
        </w:rPr>
      </w:pPr>
      <w:r>
        <w:rPr>
          <w:szCs w:val="24"/>
        </w:rPr>
        <w:br w:type="page"/>
      </w:r>
    </w:p>
    <w:tbl>
      <w:tblPr>
        <w:tblW w:w="469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70"/>
        <w:gridCol w:w="990"/>
        <w:gridCol w:w="706"/>
        <w:gridCol w:w="990"/>
        <w:gridCol w:w="981"/>
        <w:gridCol w:w="999"/>
        <w:gridCol w:w="988"/>
        <w:gridCol w:w="990"/>
        <w:gridCol w:w="986"/>
      </w:tblGrid>
      <w:tr w:rsidR="00254661" w:rsidTr="00CA7BA4">
        <w:trPr>
          <w:cantSplit/>
          <w:trHeight w:val="34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54661" w:rsidRDefault="00254661" w:rsidP="00CA7BA4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Таблица 4</w:t>
            </w:r>
          </w:p>
        </w:tc>
      </w:tr>
      <w:tr w:rsidR="00254661" w:rsidTr="00CA7BA4">
        <w:trPr>
          <w:cantSplit/>
          <w:trHeight w:val="340"/>
          <w:jc w:val="center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вар.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54661" w:rsidRDefault="00254661" w:rsidP="00CA7BA4">
            <w:pPr>
              <w:pStyle w:val="3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Параметры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рис.</w:t>
            </w:r>
          </w:p>
        </w:tc>
        <w:tc>
          <w:tcPr>
            <w:tcW w:w="2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Номиналы элементов схемы</w:t>
            </w:r>
          </w:p>
        </w:tc>
      </w:tr>
      <w:tr w:rsidR="00254661" w:rsidTr="00CA7BA4">
        <w:trPr>
          <w:cantSplit/>
          <w:trHeight w:val="556"/>
          <w:jc w:val="center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U</w:t>
            </w:r>
            <w:r>
              <w:rPr>
                <w:i/>
                <w:sz w:val="28"/>
                <w:vertAlign w:val="subscript"/>
                <w:lang w:val="en-US"/>
              </w:rPr>
              <w:t>m</w:t>
            </w:r>
            <w:r>
              <w:rPr>
                <w:sz w:val="28"/>
              </w:rPr>
              <w:t>,</w:t>
            </w:r>
          </w:p>
          <w:p w:rsidR="00254661" w:rsidRDefault="00254661" w:rsidP="00CA7BA4">
            <w:pPr>
              <w:pStyle w:val="8"/>
            </w:pPr>
            <w:r>
              <w:t>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Т</w:t>
            </w:r>
            <w:r>
              <w:rPr>
                <w:sz w:val="28"/>
              </w:rPr>
              <w:t>,</w:t>
            </w:r>
          </w:p>
          <w:p w:rsidR="00254661" w:rsidRDefault="00254661" w:rsidP="00CA7BA4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мкс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54661" w:rsidRDefault="00254661" w:rsidP="00CA7BA4">
            <w:p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q</w:t>
            </w:r>
          </w:p>
        </w:tc>
        <w:tc>
          <w:tcPr>
            <w:tcW w:w="56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R1</w:t>
            </w:r>
            <w:r>
              <w:rPr>
                <w:sz w:val="28"/>
              </w:rPr>
              <w:t>,</w:t>
            </w:r>
          </w:p>
          <w:p w:rsidR="00254661" w:rsidRDefault="00254661" w:rsidP="00CA7BA4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кОм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R</w:t>
            </w:r>
            <w:r>
              <w:rPr>
                <w:i/>
                <w:sz w:val="28"/>
              </w:rPr>
              <w:t>2</w:t>
            </w:r>
            <w:r>
              <w:rPr>
                <w:sz w:val="28"/>
              </w:rPr>
              <w:t xml:space="preserve">, </w:t>
            </w:r>
          </w:p>
          <w:p w:rsidR="00254661" w:rsidRDefault="00254661" w:rsidP="00CA7BA4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кОм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C</w:t>
            </w:r>
            <w:r>
              <w:rPr>
                <w:i/>
                <w:sz w:val="28"/>
              </w:rPr>
              <w:t>1</w:t>
            </w:r>
            <w:r>
              <w:rPr>
                <w:sz w:val="28"/>
              </w:rPr>
              <w:t xml:space="preserve">, </w:t>
            </w:r>
          </w:p>
          <w:p w:rsidR="00254661" w:rsidRDefault="00254661" w:rsidP="00CA7BA4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мкФ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C2</w:t>
            </w:r>
            <w:r>
              <w:rPr>
                <w:sz w:val="28"/>
              </w:rPr>
              <w:t xml:space="preserve">, </w:t>
            </w:r>
          </w:p>
          <w:p w:rsidR="00254661" w:rsidRDefault="00254661" w:rsidP="00CA7BA4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мкФ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L2</w:t>
            </w:r>
            <w:r>
              <w:rPr>
                <w:sz w:val="28"/>
              </w:rPr>
              <w:t xml:space="preserve">, </w:t>
            </w:r>
          </w:p>
          <w:p w:rsidR="00254661" w:rsidRDefault="00254661" w:rsidP="00CA7BA4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мкГн</w:t>
            </w:r>
          </w:p>
        </w:tc>
      </w:tr>
      <w:tr w:rsidR="00254661" w:rsidTr="00CA7BA4">
        <w:trPr>
          <w:trHeight w:val="340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54661" w:rsidRDefault="00254661" w:rsidP="00CA7BA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</w:p>
        </w:tc>
      </w:tr>
    </w:tbl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</w:p>
    <w:p w:rsidR="00254661" w:rsidRDefault="00254661" w:rsidP="00254661">
      <w:pPr>
        <w:spacing w:line="360" w:lineRule="auto"/>
        <w:jc w:val="center"/>
        <w:rPr>
          <w:sz w:val="28"/>
        </w:rPr>
      </w:pPr>
    </w:p>
    <w:p w:rsidR="00254661" w:rsidRDefault="00254661" w:rsidP="00254661">
      <w:pPr>
        <w:spacing w:line="360" w:lineRule="auto"/>
        <w:jc w:val="center"/>
        <w:rPr>
          <w:sz w:val="28"/>
        </w:rPr>
      </w:pPr>
    </w:p>
    <w:p w:rsidR="00254661" w:rsidRDefault="00254661" w:rsidP="00254661">
      <w:pPr>
        <w:pStyle w:val="7"/>
      </w:pPr>
      <w:bookmarkStart w:id="4" w:name="_Toc363284936"/>
      <w:r>
        <w:t>Методические указания по решению задачи 4</w:t>
      </w:r>
      <w:bookmarkEnd w:id="4"/>
    </w:p>
    <w:p w:rsidR="00254661" w:rsidRDefault="00254661" w:rsidP="00254661">
      <w:pPr>
        <w:spacing w:line="360" w:lineRule="auto"/>
        <w:jc w:val="center"/>
        <w:rPr>
          <w:sz w:val="28"/>
        </w:rPr>
      </w:pPr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Для рассматриваемой схемы находят коэффициент передачи сх</w:t>
      </w:r>
      <w:r>
        <w:rPr>
          <w:sz w:val="28"/>
        </w:rPr>
        <w:t>е</w:t>
      </w:r>
      <w:r>
        <w:rPr>
          <w:sz w:val="28"/>
        </w:rPr>
        <w:t xml:space="preserve">мы </w:t>
      </w:r>
      <w:r>
        <w:rPr>
          <w:position w:val="-12"/>
          <w:sz w:val="28"/>
        </w:rPr>
        <w:object w:dxaOrig="740" w:dyaOrig="360">
          <v:shape id="_x0000_i1056" type="#_x0000_t75" style="width:36.75pt;height:18pt" o:ole="">
            <v:imagedata r:id="rId12" o:title=""/>
          </v:shape>
          <o:OLEObject Type="Embed" ProgID="Equation.3" ShapeID="_x0000_i1056" DrawAspect="Content" ObjectID="_1546109648" r:id="rId30"/>
        </w:object>
      </w:r>
      <w:r>
        <w:rPr>
          <w:sz w:val="28"/>
        </w:rPr>
        <w:t>. Далее определяют с учетом наличия связи между всеми схе</w:t>
      </w:r>
      <w:r>
        <w:rPr>
          <w:sz w:val="28"/>
        </w:rPr>
        <w:t>м</w:t>
      </w:r>
      <w:r>
        <w:rPr>
          <w:sz w:val="28"/>
        </w:rPr>
        <w:t xml:space="preserve">ными функциями комплексный коэффициент передачи </w:t>
      </w:r>
      <w:r>
        <w:rPr>
          <w:position w:val="-12"/>
          <w:sz w:val="28"/>
        </w:rPr>
        <w:object w:dxaOrig="859" w:dyaOrig="360">
          <v:shape id="_x0000_i1057" type="#_x0000_t75" style="width:42.75pt;height:18pt" o:ole="">
            <v:imagedata r:id="rId14" o:title=""/>
          </v:shape>
          <o:OLEObject Type="Embed" ProgID="Equation.3" ShapeID="_x0000_i1057" DrawAspect="Content" ObjectID="_1546109649" r:id="rId31"/>
        </w:object>
      </w:r>
      <w:r>
        <w:rPr>
          <w:sz w:val="28"/>
        </w:rPr>
        <w:t xml:space="preserve">, его модуль </w:t>
      </w:r>
      <w:r>
        <w:rPr>
          <w:position w:val="-12"/>
          <w:sz w:val="28"/>
        </w:rPr>
        <w:object w:dxaOrig="740" w:dyaOrig="360">
          <v:shape id="_x0000_i1058" type="#_x0000_t75" style="width:36.75pt;height:18pt" o:ole="">
            <v:imagedata r:id="rId16" o:title=""/>
          </v:shape>
          <o:OLEObject Type="Embed" ProgID="Equation.3" ShapeID="_x0000_i1058" DrawAspect="Content" ObjectID="_1546109650" r:id="rId32"/>
        </w:object>
      </w:r>
      <w:r>
        <w:rPr>
          <w:sz w:val="28"/>
        </w:rPr>
        <w:t xml:space="preserve"> – АЧХ и фазу </w:t>
      </w:r>
      <w:r>
        <w:rPr>
          <w:position w:val="-10"/>
          <w:sz w:val="28"/>
        </w:rPr>
        <w:object w:dxaOrig="560" w:dyaOrig="320">
          <v:shape id="_x0000_i1059" type="#_x0000_t75" style="width:27.75pt;height:15.75pt" o:ole="">
            <v:imagedata r:id="rId33" o:title=""/>
          </v:shape>
          <o:OLEObject Type="Embed" ProgID="Equation.3" ShapeID="_x0000_i1059" DrawAspect="Content" ObjectID="_1546109651" r:id="rId34"/>
        </w:object>
      </w:r>
      <w:r>
        <w:rPr>
          <w:sz w:val="28"/>
        </w:rPr>
        <w:t xml:space="preserve"> – ФЧХ.</w:t>
      </w:r>
    </w:p>
    <w:p w:rsidR="00254661" w:rsidRDefault="00254661" w:rsidP="00254661">
      <w:pPr>
        <w:pStyle w:val="2"/>
        <w:rPr>
          <w:szCs w:val="24"/>
        </w:rPr>
      </w:pPr>
      <w:r>
        <w:rPr>
          <w:szCs w:val="24"/>
        </w:rPr>
        <w:t>2. По полученным аналитическим выражениям для АЧХ и ФЧХ строят в логарифмическом масштабе соответствующие характеристики, из которых делают выводы о возможностях передачи гармонических сигн</w:t>
      </w:r>
      <w:r>
        <w:rPr>
          <w:szCs w:val="24"/>
        </w:rPr>
        <w:t>а</w:t>
      </w:r>
      <w:r>
        <w:rPr>
          <w:szCs w:val="24"/>
        </w:rPr>
        <w:t>лов через рассматриваемую схему и о её применении.</w:t>
      </w:r>
    </w:p>
    <w:p w:rsid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Пользуясь полученным в п. 1 выражением для </w:t>
      </w:r>
      <w:r>
        <w:rPr>
          <w:position w:val="-12"/>
          <w:sz w:val="28"/>
        </w:rPr>
        <w:object w:dxaOrig="740" w:dyaOrig="360">
          <v:shape id="_x0000_i1060" type="#_x0000_t75" style="width:36.75pt;height:18pt" o:ole="">
            <v:imagedata r:id="rId12" o:title=""/>
          </v:shape>
          <o:OLEObject Type="Embed" ProgID="Equation.3" ShapeID="_x0000_i1060" DrawAspect="Content" ObjectID="_1546109652" r:id="rId35"/>
        </w:object>
      </w:r>
      <w:r>
        <w:rPr>
          <w:sz w:val="28"/>
        </w:rPr>
        <w:t xml:space="preserve">, определяют сначала изображение </w:t>
      </w:r>
      <w:r>
        <w:rPr>
          <w:position w:val="-10"/>
          <w:sz w:val="28"/>
        </w:rPr>
        <w:object w:dxaOrig="620" w:dyaOrig="320">
          <v:shape id="_x0000_i1061" type="#_x0000_t75" style="width:30.75pt;height:15.75pt" o:ole="">
            <v:imagedata r:id="rId36" o:title=""/>
          </v:shape>
          <o:OLEObject Type="Embed" ProgID="Equation.3" ShapeID="_x0000_i1061" DrawAspect="Content" ObjectID="_1546109653" r:id="rId37"/>
        </w:object>
      </w:r>
      <w:r>
        <w:rPr>
          <w:sz w:val="28"/>
        </w:rPr>
        <w:t xml:space="preserve">, а затем – оригинал переходной функции </w:t>
      </w:r>
      <w:r>
        <w:rPr>
          <w:position w:val="-10"/>
          <w:sz w:val="28"/>
        </w:rPr>
        <w:object w:dxaOrig="440" w:dyaOrig="320">
          <v:shape id="_x0000_i1062" type="#_x0000_t75" style="width:21.75pt;height:15.75pt" o:ole="">
            <v:imagedata r:id="rId38" o:title=""/>
          </v:shape>
          <o:OLEObject Type="Embed" ProgID="Equation.3" ShapeID="_x0000_i1062" DrawAspect="Content" ObjectID="_1546109654" r:id="rId39"/>
        </w:object>
      </w:r>
      <w:r>
        <w:rPr>
          <w:sz w:val="28"/>
        </w:rPr>
        <w:t xml:space="preserve"> и строят график зависимости </w:t>
      </w:r>
      <w:r>
        <w:rPr>
          <w:position w:val="-10"/>
          <w:sz w:val="28"/>
        </w:rPr>
        <w:object w:dxaOrig="440" w:dyaOrig="320">
          <v:shape id="_x0000_i1063" type="#_x0000_t75" style="width:21.75pt;height:15.75pt" o:ole="">
            <v:imagedata r:id="rId40" o:title=""/>
          </v:shape>
          <o:OLEObject Type="Embed" ProgID="Equation.3" ShapeID="_x0000_i1063" DrawAspect="Content" ObjectID="_1546109655" r:id="rId41"/>
        </w:object>
      </w:r>
      <w:r>
        <w:rPr>
          <w:sz w:val="28"/>
        </w:rPr>
        <w:t>.</w:t>
      </w:r>
    </w:p>
    <w:p w:rsidR="00A06D79" w:rsidRPr="00254661" w:rsidRDefault="00254661" w:rsidP="0025466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Заключительным этапом является анализ работы схемы при пер</w:t>
      </w:r>
      <w:r>
        <w:rPr>
          <w:sz w:val="28"/>
        </w:rPr>
        <w:t>е</w:t>
      </w:r>
      <w:r>
        <w:rPr>
          <w:sz w:val="28"/>
        </w:rPr>
        <w:t>даче последовательности прямоугольных импульсов, который проводится путём построения временной диаграммы работы схемы с учётом масшт</w:t>
      </w:r>
      <w:r>
        <w:rPr>
          <w:sz w:val="28"/>
        </w:rPr>
        <w:t>а</w:t>
      </w:r>
      <w:r>
        <w:rPr>
          <w:sz w:val="28"/>
        </w:rPr>
        <w:t>бов по осям времени и напряжения и формирования выводов из получе</w:t>
      </w:r>
      <w:r>
        <w:rPr>
          <w:sz w:val="28"/>
        </w:rPr>
        <w:t>н</w:t>
      </w:r>
      <w:r>
        <w:rPr>
          <w:sz w:val="28"/>
        </w:rPr>
        <w:t>ных зависимостей. На временной диаграмме достаточно представить с</w:t>
      </w:r>
      <w:r>
        <w:rPr>
          <w:sz w:val="28"/>
        </w:rPr>
        <w:t>о</w:t>
      </w:r>
      <w:r>
        <w:rPr>
          <w:sz w:val="28"/>
        </w:rPr>
        <w:t xml:space="preserve">гласованное во времени изображение зависимостей </w:t>
      </w:r>
      <w:r>
        <w:rPr>
          <w:position w:val="-12"/>
          <w:sz w:val="28"/>
        </w:rPr>
        <w:object w:dxaOrig="600" w:dyaOrig="360">
          <v:shape id="_x0000_i1064" type="#_x0000_t75" style="width:30pt;height:18pt" o:ole="">
            <v:imagedata r:id="rId42" o:title=""/>
          </v:shape>
          <o:OLEObject Type="Embed" ProgID="Equation.3" ShapeID="_x0000_i1064" DrawAspect="Content" ObjectID="_1546109656" r:id="rId43"/>
        </w:object>
      </w:r>
      <w:r>
        <w:rPr>
          <w:sz w:val="28"/>
        </w:rPr>
        <w:t xml:space="preserve"> и </w:t>
      </w:r>
      <w:r>
        <w:rPr>
          <w:position w:val="-12"/>
          <w:sz w:val="28"/>
        </w:rPr>
        <w:object w:dxaOrig="700" w:dyaOrig="360">
          <v:shape id="_x0000_i1065" type="#_x0000_t75" style="width:35.25pt;height:18pt" o:ole="">
            <v:imagedata r:id="rId44" o:title=""/>
          </v:shape>
          <o:OLEObject Type="Embed" ProgID="Equation.3" ShapeID="_x0000_i1065" DrawAspect="Content" ObjectID="_1546109657" r:id="rId45"/>
        </w:object>
      </w:r>
      <w:r>
        <w:rPr>
          <w:sz w:val="28"/>
        </w:rPr>
        <w:t>. При п</w:t>
      </w:r>
      <w:r>
        <w:rPr>
          <w:sz w:val="28"/>
        </w:rPr>
        <w:t>о</w:t>
      </w:r>
      <w:r>
        <w:rPr>
          <w:sz w:val="28"/>
        </w:rPr>
        <w:t xml:space="preserve">строении временной диаграммы необходимо пользоваться для поиска </w:t>
      </w:r>
      <w:r>
        <w:rPr>
          <w:position w:val="-12"/>
          <w:sz w:val="28"/>
        </w:rPr>
        <w:object w:dxaOrig="700" w:dyaOrig="360">
          <v:shape id="_x0000_i1066" type="#_x0000_t75" style="width:35.25pt;height:18pt" o:ole="">
            <v:imagedata r:id="rId44" o:title=""/>
          </v:shape>
          <o:OLEObject Type="Embed" ProgID="Equation.3" ShapeID="_x0000_i1066" DrawAspect="Content" ObjectID="_1546109658" r:id="rId46"/>
        </w:object>
      </w:r>
      <w:r>
        <w:rPr>
          <w:sz w:val="28"/>
        </w:rPr>
        <w:t xml:space="preserve"> суперпозицио</w:t>
      </w:r>
      <w:r>
        <w:rPr>
          <w:sz w:val="28"/>
        </w:rPr>
        <w:t>нным методом интеграла Дюамеля.</w:t>
      </w:r>
    </w:p>
    <w:sectPr w:rsidR="00A06D79" w:rsidRPr="0025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B8"/>
    <w:rsid w:val="00254661"/>
    <w:rsid w:val="008F29B8"/>
    <w:rsid w:val="009612D9"/>
    <w:rsid w:val="00A0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3F27"/>
  <w15:chartTrackingRefBased/>
  <w15:docId w15:val="{1A84403A-495F-42BE-992A-51B17B46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4661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aliases w:val="Мой заголовок2"/>
    <w:basedOn w:val="a"/>
    <w:next w:val="a"/>
    <w:link w:val="70"/>
    <w:qFormat/>
    <w:rsid w:val="00254661"/>
    <w:pPr>
      <w:keepNext/>
      <w:widowControl w:val="0"/>
      <w:autoSpaceDE w:val="0"/>
      <w:autoSpaceDN w:val="0"/>
      <w:adjustRightInd w:val="0"/>
      <w:spacing w:line="360" w:lineRule="auto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54661"/>
    <w:pPr>
      <w:keepNext/>
      <w:spacing w:line="360" w:lineRule="auto"/>
      <w:jc w:val="center"/>
      <w:outlineLvl w:val="7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46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546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5466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25466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2546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Мой заголовок1"/>
    <w:basedOn w:val="a"/>
    <w:rsid w:val="00254661"/>
    <w:pPr>
      <w:spacing w:line="360" w:lineRule="auto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2017-01-16T17:38:00Z</dcterms:created>
  <dcterms:modified xsi:type="dcterms:W3CDTF">2017-01-16T19:08:00Z</dcterms:modified>
</cp:coreProperties>
</file>