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lang w:val="en-US"/>
        </w:rPr>
        <w:t xml:space="preserve">1) </w:t>
      </w:r>
      <w:r>
        <w:rPr/>
        <w:t>Зарубежная строительная компания имеет собственный капитал, стоимость которого равна 150 млн. долл. Оценочная рыночная стоимость её совокупной задолженности равна 7,5 млн. долл. Коэффициент β = 1,1. Рыночная премия за риск равна 7%. Эффективная ставка налога на прибыль равна 35%. Стоимость заемного капитала – 15,3%. Доходность государственной облигации с 25- летним сроком погашения равна 7,05%. Вычислите среднюю взвешенную стоимость капитала.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lang w:val="en-US"/>
        </w:rPr>
        <w:t xml:space="preserve">2) </w:t>
      </w:r>
      <w:r>
        <w:rPr/>
        <w:t>Оценить стоимость 35%-го пакет акций, если чистая прибыль предприятия составила 680 000 руб., амортизационные отчисления – 210 000 руб., прирост собственного оборотного капитала – 23 000 руб. Балансовая стоимость имущества составляет 2 010 000 руб. Предприятие имеет нефункционирующие активы стоимость 164 000 руб. В отчетном году было уплачено 320 000 руб. налогов. Премия за контроль составляет 40%. Мультипликаторы компаний-аналогов и их удельные веса представлены в таблице: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120130" cy="81915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 xml:space="preserve">Денежный поток в мультипликаторе рассчитывается, как сумма чистой прибыли и амортизации за минусом прироста СОК.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720090</wp:posOffset>
            </wp:positionV>
            <wp:extent cx="6120130" cy="1745615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t>3) Рассчитайте ликвидационную стоимость предприятия на основе данных, подготовленных</w:t>
        <w:br/>
        <w:t xml:space="preserve">оценщиком в процессе анализа условий реализации активов. Норма дисконта принятия 40%. Рыночная стоимость обязательств – 3 540 млн. руб </w:t>
        <w:br/>
      </w: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LibreOffice/5.2.4.2$Windows_x86 LibreOffice_project/3d5603e1122f0f102b62521720ab13a38a4e0eb0</Application>
  <Pages>1</Pages>
  <Words>166</Words>
  <Characters>1095</Characters>
  <CharactersWithSpaces>1265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2017-01-13T15:15:28Z</dcterms:created>
  <dc:creator/>
  <dc:description/>
  <dc:language>ru-RU</dc:language>
  <cp:lastModifiedBy/>
  <dcterms:modified xsi:type="dcterms:W3CDTF">2017-01-13T15:21:44Z</dcterms:modified>
  <cp:revision>1</cp:revision>
  <dc:subject/>
  <dc:title/>
</cp:coreProperties>
</file>