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27" w:rsidRPr="00E145B8" w:rsidRDefault="00F52027" w:rsidP="00F520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F52027" w:rsidRPr="00525D5F" w:rsidRDefault="00F52027" w:rsidP="00F520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41948774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 №3: </w:t>
      </w:r>
      <w:r w:rsidRPr="00525D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Комплект заданий для итоговой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контрольной </w:t>
      </w:r>
      <w:r w:rsidRPr="00525D5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bookmarkEnd w:id="0"/>
    </w:p>
    <w:p w:rsidR="00F52027" w:rsidRDefault="00F52027" w:rsidP="00F520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45B8">
        <w:rPr>
          <w:rFonts w:ascii="Times New Roman" w:eastAsia="Times New Roman" w:hAnsi="Times New Roman" w:cs="Times New Roman"/>
          <w:sz w:val="26"/>
          <w:szCs w:val="26"/>
        </w:rPr>
        <w:t xml:space="preserve">по дисциплине </w:t>
      </w:r>
      <w:r w:rsidRPr="00E145B8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Рынок ценных бумаг</w:t>
      </w:r>
      <w:r w:rsidRPr="00E145B8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F52027" w:rsidRPr="00E145B8" w:rsidRDefault="00F52027" w:rsidP="00F5202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52027" w:rsidRPr="007A11D4" w:rsidRDefault="00F52027" w:rsidP="00F52027">
      <w:pPr>
        <w:pStyle w:val="21"/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11D4">
        <w:rPr>
          <w:rFonts w:ascii="Times New Roman" w:hAnsi="Times New Roman"/>
          <w:sz w:val="24"/>
          <w:szCs w:val="24"/>
        </w:rPr>
        <w:t>Контрольная работа должна составлять по объему 20 – 25 страниц стандартного листа формата А</w:t>
      </w:r>
      <w:proofErr w:type="gramStart"/>
      <w:r w:rsidRPr="007A11D4">
        <w:rPr>
          <w:rFonts w:ascii="Times New Roman" w:hAnsi="Times New Roman"/>
          <w:sz w:val="24"/>
          <w:szCs w:val="24"/>
        </w:rPr>
        <w:t>4</w:t>
      </w:r>
      <w:proofErr w:type="gramEnd"/>
      <w:r w:rsidRPr="007A11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A11D4">
        <w:rPr>
          <w:rFonts w:ascii="Times New Roman" w:hAnsi="Times New Roman"/>
          <w:sz w:val="24"/>
          <w:szCs w:val="24"/>
        </w:rPr>
        <w:t xml:space="preserve">Страницы должны быть пронумерованы в правом верхнем углу и иметь поля (с левой стороны – </w:t>
      </w:r>
      <w:smartTag w:uri="urn:schemas-microsoft-com:office:smarttags" w:element="metricconverter">
        <w:smartTagPr>
          <w:attr w:name="ProductID" w:val="25 мм"/>
        </w:smartTagPr>
        <w:r w:rsidRPr="007A11D4">
          <w:rPr>
            <w:rFonts w:ascii="Times New Roman" w:hAnsi="Times New Roman"/>
            <w:sz w:val="24"/>
            <w:szCs w:val="24"/>
          </w:rPr>
          <w:t>25 мм</w:t>
        </w:r>
      </w:smartTag>
      <w:r w:rsidRPr="007A11D4">
        <w:rPr>
          <w:rFonts w:ascii="Times New Roman" w:hAnsi="Times New Roman"/>
          <w:sz w:val="24"/>
          <w:szCs w:val="24"/>
        </w:rPr>
        <w:t xml:space="preserve">, с правой – </w:t>
      </w:r>
      <w:smartTag w:uri="urn:schemas-microsoft-com:office:smarttags" w:element="metricconverter">
        <w:smartTagPr>
          <w:attr w:name="ProductID" w:val="15 мм"/>
        </w:smartTagPr>
        <w:r w:rsidRPr="007A11D4">
          <w:rPr>
            <w:rFonts w:ascii="Times New Roman" w:hAnsi="Times New Roman"/>
            <w:sz w:val="24"/>
            <w:szCs w:val="24"/>
          </w:rPr>
          <w:t>15 мм</w:t>
        </w:r>
      </w:smartTag>
      <w:r w:rsidRPr="007A11D4">
        <w:rPr>
          <w:rFonts w:ascii="Times New Roman" w:hAnsi="Times New Roman"/>
          <w:sz w:val="24"/>
          <w:szCs w:val="24"/>
        </w:rPr>
        <w:t xml:space="preserve">, сверху и снизу – по </w:t>
      </w:r>
      <w:smartTag w:uri="urn:schemas-microsoft-com:office:smarttags" w:element="metricconverter">
        <w:smartTagPr>
          <w:attr w:name="ProductID" w:val="20 мм"/>
        </w:smartTagPr>
        <w:r w:rsidRPr="007A11D4">
          <w:rPr>
            <w:rFonts w:ascii="Times New Roman" w:hAnsi="Times New Roman"/>
            <w:sz w:val="24"/>
            <w:szCs w:val="24"/>
          </w:rPr>
          <w:t>20 мм</w:t>
        </w:r>
      </w:smartTag>
      <w:r w:rsidRPr="007A11D4">
        <w:rPr>
          <w:rFonts w:ascii="Times New Roman" w:hAnsi="Times New Roman"/>
          <w:sz w:val="24"/>
          <w:szCs w:val="24"/>
        </w:rPr>
        <w:t>).</w:t>
      </w:r>
      <w:proofErr w:type="gramEnd"/>
    </w:p>
    <w:p w:rsidR="00F52027" w:rsidRPr="007A11D4" w:rsidRDefault="00F52027" w:rsidP="00F52027">
      <w:pPr>
        <w:pStyle w:val="21"/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11D4">
        <w:rPr>
          <w:rFonts w:ascii="Times New Roman" w:hAnsi="Times New Roman"/>
          <w:sz w:val="24"/>
          <w:szCs w:val="24"/>
        </w:rPr>
        <w:t xml:space="preserve">Работа должна начинаться с </w:t>
      </w:r>
      <w:r w:rsidRPr="007A11D4">
        <w:rPr>
          <w:rFonts w:ascii="Times New Roman" w:hAnsi="Times New Roman"/>
          <w:i/>
          <w:sz w:val="24"/>
          <w:szCs w:val="24"/>
        </w:rPr>
        <w:t>содержания</w:t>
      </w:r>
      <w:r w:rsidRPr="007A11D4">
        <w:rPr>
          <w:rFonts w:ascii="Times New Roman" w:hAnsi="Times New Roman"/>
          <w:sz w:val="24"/>
          <w:szCs w:val="24"/>
        </w:rPr>
        <w:t xml:space="preserve">, которое должно отражать основные вопросы контрольной работы и иметь введение и заключение. Во </w:t>
      </w:r>
      <w:r w:rsidRPr="007A11D4">
        <w:rPr>
          <w:rFonts w:ascii="Times New Roman" w:hAnsi="Times New Roman"/>
          <w:i/>
          <w:sz w:val="24"/>
          <w:szCs w:val="24"/>
        </w:rPr>
        <w:t>введении</w:t>
      </w:r>
      <w:r w:rsidRPr="007A11D4">
        <w:rPr>
          <w:rFonts w:ascii="Times New Roman" w:hAnsi="Times New Roman"/>
          <w:sz w:val="24"/>
          <w:szCs w:val="24"/>
        </w:rPr>
        <w:t xml:space="preserve"> студент формирует актуальность поставленной темы, формирует цель и структуру работы.</w:t>
      </w:r>
    </w:p>
    <w:p w:rsidR="00F52027" w:rsidRPr="007A11D4" w:rsidRDefault="00F52027" w:rsidP="00F52027">
      <w:pPr>
        <w:pStyle w:val="21"/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11D4">
        <w:rPr>
          <w:rFonts w:ascii="Times New Roman" w:hAnsi="Times New Roman"/>
          <w:i/>
          <w:sz w:val="24"/>
          <w:szCs w:val="24"/>
        </w:rPr>
        <w:t>Основная часть</w:t>
      </w:r>
      <w:r w:rsidRPr="007A11D4">
        <w:rPr>
          <w:rFonts w:ascii="Times New Roman" w:hAnsi="Times New Roman"/>
          <w:sz w:val="24"/>
          <w:szCs w:val="24"/>
        </w:rPr>
        <w:t xml:space="preserve"> должна состоять из нескольких разделов, каждый из которых должен иметь подразделы (не менее 2-х), название которых выделяется в тексте. Вопросы должны детально отражать поставленную тему и содержать собственное мнение студента </w:t>
      </w:r>
      <w:proofErr w:type="gramStart"/>
      <w:r w:rsidRPr="007A11D4">
        <w:rPr>
          <w:rFonts w:ascii="Times New Roman" w:hAnsi="Times New Roman"/>
          <w:sz w:val="24"/>
          <w:szCs w:val="24"/>
        </w:rPr>
        <w:t>на те</w:t>
      </w:r>
      <w:proofErr w:type="gramEnd"/>
      <w:r w:rsidRPr="007A11D4">
        <w:rPr>
          <w:rFonts w:ascii="Times New Roman" w:hAnsi="Times New Roman"/>
          <w:sz w:val="24"/>
          <w:szCs w:val="24"/>
        </w:rPr>
        <w:t xml:space="preserve"> проблемы, которые он выделяет. В конце каждого раздела студенту необходимо сделать самостоятельный вывод. В тексте обязательно делаются ссылки на информационные источники, которые сопровождаются сносками в конце страницы.</w:t>
      </w:r>
    </w:p>
    <w:p w:rsidR="00F52027" w:rsidRPr="007A11D4" w:rsidRDefault="00F52027" w:rsidP="00F52027">
      <w:pPr>
        <w:pStyle w:val="21"/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11D4">
        <w:rPr>
          <w:rFonts w:ascii="Times New Roman" w:hAnsi="Times New Roman"/>
          <w:sz w:val="24"/>
          <w:szCs w:val="24"/>
        </w:rPr>
        <w:t>Для более наглядного изображения поставленных вопросов студент может использовать в тексте или приложениях графики, схемы, диаграммы и т.д.</w:t>
      </w:r>
    </w:p>
    <w:p w:rsidR="00F52027" w:rsidRPr="007A11D4" w:rsidRDefault="00F52027" w:rsidP="00F52027">
      <w:pPr>
        <w:pStyle w:val="21"/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11D4">
        <w:rPr>
          <w:rFonts w:ascii="Times New Roman" w:hAnsi="Times New Roman"/>
          <w:i/>
          <w:sz w:val="24"/>
          <w:szCs w:val="24"/>
        </w:rPr>
        <w:t>Заключение</w:t>
      </w:r>
      <w:r w:rsidRPr="007A11D4">
        <w:rPr>
          <w:rFonts w:ascii="Times New Roman" w:hAnsi="Times New Roman"/>
          <w:sz w:val="24"/>
          <w:szCs w:val="24"/>
        </w:rPr>
        <w:t xml:space="preserve"> содержит обобщающий вывод, сделанный на основе предыдущих </w:t>
      </w:r>
      <w:proofErr w:type="gramStart"/>
      <w:r w:rsidRPr="007A11D4">
        <w:rPr>
          <w:rFonts w:ascii="Times New Roman" w:hAnsi="Times New Roman"/>
          <w:sz w:val="24"/>
          <w:szCs w:val="24"/>
        </w:rPr>
        <w:t>выводов</w:t>
      </w:r>
      <w:proofErr w:type="gramEnd"/>
      <w:r w:rsidRPr="007A11D4">
        <w:rPr>
          <w:rFonts w:ascii="Times New Roman" w:hAnsi="Times New Roman"/>
          <w:sz w:val="24"/>
          <w:szCs w:val="24"/>
        </w:rPr>
        <w:t xml:space="preserve"> и отражать позицию автора на поставленную тему.</w:t>
      </w:r>
    </w:p>
    <w:p w:rsidR="00F52027" w:rsidRPr="007A11D4" w:rsidRDefault="00F52027" w:rsidP="00F52027">
      <w:pPr>
        <w:pStyle w:val="21"/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11D4">
        <w:rPr>
          <w:rFonts w:ascii="Times New Roman" w:hAnsi="Times New Roman"/>
          <w:sz w:val="24"/>
          <w:szCs w:val="24"/>
        </w:rPr>
        <w:t xml:space="preserve">В конце работы приводится </w:t>
      </w:r>
      <w:r w:rsidRPr="007A11D4">
        <w:rPr>
          <w:rFonts w:ascii="Times New Roman" w:hAnsi="Times New Roman"/>
          <w:i/>
          <w:sz w:val="24"/>
          <w:szCs w:val="24"/>
        </w:rPr>
        <w:t>список литературы</w:t>
      </w:r>
      <w:r w:rsidRPr="007A11D4">
        <w:rPr>
          <w:rFonts w:ascii="Times New Roman" w:hAnsi="Times New Roman"/>
          <w:sz w:val="24"/>
          <w:szCs w:val="24"/>
        </w:rPr>
        <w:t>, который должен содержать нормативные, учебные и периодические источники (законодательные и нормативные акты в первую очередь).    Список литературы составляется в алфавитном порядке. Работа должна быть написана не менее</w:t>
      </w:r>
      <w:proofErr w:type="gramStart"/>
      <w:r w:rsidRPr="007A11D4">
        <w:rPr>
          <w:rFonts w:ascii="Times New Roman" w:hAnsi="Times New Roman"/>
          <w:sz w:val="24"/>
          <w:szCs w:val="24"/>
        </w:rPr>
        <w:t>,</w:t>
      </w:r>
      <w:proofErr w:type="gramEnd"/>
      <w:r w:rsidRPr="007A11D4">
        <w:rPr>
          <w:rFonts w:ascii="Times New Roman" w:hAnsi="Times New Roman"/>
          <w:sz w:val="24"/>
          <w:szCs w:val="24"/>
        </w:rPr>
        <w:t xml:space="preserve"> чем по восьми источникам.</w:t>
      </w:r>
    </w:p>
    <w:p w:rsidR="00F52027" w:rsidRDefault="00F52027" w:rsidP="00F52027">
      <w:pPr>
        <w:pStyle w:val="23"/>
        <w:spacing w:before="0" w:after="140"/>
        <w:rPr>
          <w:iCs w:val="0"/>
        </w:rPr>
      </w:pPr>
      <w:bookmarkStart w:id="1" w:name="_Toc166219699"/>
      <w:bookmarkStart w:id="2" w:name="_Toc167641091"/>
      <w:r>
        <w:rPr>
          <w:iCs w:val="0"/>
        </w:rPr>
        <w:t>2. ВЫБОР  ТЕМЫ   КОНТРОЛЬНОЙ  РАБОТ</w:t>
      </w:r>
      <w:bookmarkEnd w:id="1"/>
      <w:r>
        <w:rPr>
          <w:iCs w:val="0"/>
        </w:rPr>
        <w:t>Ы</w:t>
      </w:r>
      <w:bookmarkEnd w:id="2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5"/>
        <w:gridCol w:w="3101"/>
        <w:gridCol w:w="18"/>
      </w:tblGrid>
      <w:tr w:rsidR="00F52027" w:rsidTr="00D22637">
        <w:trPr>
          <w:gridAfter w:val="1"/>
          <w:wAfter w:w="18" w:type="dxa"/>
          <w:trHeight w:hRule="exact" w:val="487"/>
        </w:trPr>
        <w:tc>
          <w:tcPr>
            <w:tcW w:w="3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Последняя цифра  в номере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br/>
              <w:t>зачетной книжки студента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noProof/>
                <w:sz w:val="18"/>
                <w:szCs w:val="18"/>
              </w:rPr>
              <w:t>№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темы контрольной работы</w:t>
            </w:r>
          </w:p>
        </w:tc>
      </w:tr>
      <w:tr w:rsidR="00F52027" w:rsidTr="00D22637">
        <w:trPr>
          <w:gridAfter w:val="1"/>
          <w:wAfter w:w="18" w:type="dxa"/>
          <w:trHeight w:val="250"/>
        </w:trPr>
        <w:tc>
          <w:tcPr>
            <w:tcW w:w="3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 или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eastAsia="Times New Roman" w:hAnsi="Calibri" w:cs="Times New Roman"/>
                <w:noProof/>
              </w:rPr>
              <w:t>1 или 11, или 21</w:t>
            </w:r>
          </w:p>
        </w:tc>
      </w:tr>
      <w:tr w:rsidR="00F52027" w:rsidTr="00D22637">
        <w:trPr>
          <w:gridAfter w:val="1"/>
          <w:wAfter w:w="18" w:type="dxa"/>
          <w:trHeight w:val="249"/>
        </w:trPr>
        <w:tc>
          <w:tcPr>
            <w:tcW w:w="3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eastAsia="Times New Roman" w:hAnsi="Calibri" w:cs="Times New Roman"/>
                <w:noProof/>
              </w:rPr>
              <w:t>2 или 12,  или 22</w:t>
            </w:r>
          </w:p>
        </w:tc>
      </w:tr>
      <w:tr w:rsidR="00F52027" w:rsidTr="00D22637">
        <w:trPr>
          <w:trHeight w:val="249"/>
        </w:trPr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eastAsia="Times New Roman" w:hAnsi="Calibri" w:cs="Times New Roman"/>
                <w:noProof/>
              </w:rPr>
              <w:t>3 или 13, или 23</w:t>
            </w:r>
          </w:p>
        </w:tc>
      </w:tr>
      <w:tr w:rsidR="00F52027" w:rsidTr="00D22637">
        <w:trPr>
          <w:trHeight w:hRule="exact" w:val="266"/>
        </w:trPr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eastAsia="Times New Roman" w:hAnsi="Calibri" w:cs="Times New Roman"/>
                <w:noProof/>
              </w:rPr>
              <w:t>4 или 14, или 24</w:t>
            </w:r>
          </w:p>
        </w:tc>
      </w:tr>
      <w:tr w:rsidR="00F52027" w:rsidTr="00D22637">
        <w:trPr>
          <w:trHeight w:val="221"/>
        </w:trPr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eastAsia="Times New Roman" w:hAnsi="Calibri" w:cs="Times New Roman"/>
                <w:noProof/>
              </w:rPr>
              <w:t>5 или 15, или 25</w:t>
            </w:r>
          </w:p>
        </w:tc>
      </w:tr>
      <w:tr w:rsidR="00F52027" w:rsidTr="00D22637">
        <w:trPr>
          <w:trHeight w:val="208"/>
        </w:trPr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eastAsia="Times New Roman" w:hAnsi="Calibri" w:cs="Times New Roman"/>
                <w:noProof/>
              </w:rPr>
              <w:t>6 или 16, или 26</w:t>
            </w:r>
          </w:p>
        </w:tc>
      </w:tr>
      <w:tr w:rsidR="00F52027" w:rsidTr="00D22637">
        <w:trPr>
          <w:trHeight w:val="208"/>
        </w:trPr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eastAsia="Times New Roman" w:hAnsi="Calibri" w:cs="Times New Roman"/>
                <w:noProof/>
              </w:rPr>
              <w:t>7 или 17</w:t>
            </w:r>
          </w:p>
        </w:tc>
      </w:tr>
      <w:tr w:rsidR="00F52027" w:rsidTr="00D22637">
        <w:trPr>
          <w:trHeight w:val="208"/>
        </w:trPr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eastAsia="Times New Roman" w:hAnsi="Calibri" w:cs="Times New Roman"/>
                <w:noProof/>
              </w:rPr>
              <w:t>8 или 18</w:t>
            </w:r>
          </w:p>
        </w:tc>
      </w:tr>
      <w:tr w:rsidR="00F52027" w:rsidTr="00D22637">
        <w:trPr>
          <w:trHeight w:val="208"/>
        </w:trPr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27" w:rsidRDefault="00F52027" w:rsidP="00D2263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eastAsia="Times New Roman" w:hAnsi="Calibri" w:cs="Times New Roman"/>
                <w:noProof/>
              </w:rPr>
              <w:t>9 или 19</w:t>
            </w:r>
          </w:p>
        </w:tc>
      </w:tr>
    </w:tbl>
    <w:p w:rsidR="00F52027" w:rsidRDefault="00F52027" w:rsidP="00F52027">
      <w:pPr>
        <w:pStyle w:val="23"/>
        <w:spacing w:before="360" w:after="140"/>
        <w:rPr>
          <w:iCs w:val="0"/>
        </w:rPr>
      </w:pPr>
      <w:bookmarkStart w:id="3" w:name="_Toc167641092"/>
      <w:r>
        <w:rPr>
          <w:iCs w:val="0"/>
        </w:rPr>
        <w:t>3. ТЕМАТИКА КОНТРОЛЬНЫХ РАБОТ</w:t>
      </w:r>
      <w:bookmarkEnd w:id="3"/>
    </w:p>
    <w:p w:rsidR="00F52027" w:rsidRPr="007A11D4" w:rsidRDefault="00F52027" w:rsidP="00F52027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Профессиональные участники рынка ценных бумаг в России.</w:t>
      </w:r>
    </w:p>
    <w:p w:rsidR="00F52027" w:rsidRPr="007A11D4" w:rsidRDefault="00F52027" w:rsidP="00F52027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Сбербанк РФ как профессиональный участник рынка ценных бумаг.</w:t>
      </w:r>
    </w:p>
    <w:p w:rsidR="00F52027" w:rsidRPr="007A11D4" w:rsidRDefault="00F52027" w:rsidP="00F52027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Становление в России рынка ценных бумаг и биржевого дела.</w:t>
      </w:r>
    </w:p>
    <w:p w:rsidR="00F52027" w:rsidRPr="007A11D4" w:rsidRDefault="00F52027" w:rsidP="00F52027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lastRenderedPageBreak/>
        <w:t>Механизм функционирования рынка ценных бумаг.</w:t>
      </w:r>
    </w:p>
    <w:p w:rsidR="00F52027" w:rsidRPr="007A11D4" w:rsidRDefault="00F52027" w:rsidP="00F52027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Механизм биржевых операций.</w:t>
      </w:r>
    </w:p>
    <w:p w:rsidR="00F52027" w:rsidRPr="007A11D4" w:rsidRDefault="00F52027" w:rsidP="00F52027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Система управления рынком ценных бумаг.</w:t>
      </w:r>
    </w:p>
    <w:p w:rsidR="00F52027" w:rsidRPr="007A11D4" w:rsidRDefault="00F52027" w:rsidP="00F52027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Государственное регулирование рынка ценных бумаг.</w:t>
      </w:r>
    </w:p>
    <w:p w:rsidR="00F52027" w:rsidRPr="007A11D4" w:rsidRDefault="00F52027" w:rsidP="00F52027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Характеристика первичного рынка ценных бумаг.</w:t>
      </w:r>
    </w:p>
    <w:p w:rsidR="00F52027" w:rsidRPr="007A11D4" w:rsidRDefault="00F52027" w:rsidP="00F52027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Особенности вторичного рынка ценных бумаг (классификация биржевых операций).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Конъюнктура биржевого рынка ценных бумаг.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Инвестиционная деятельность на рынке ценных бумаг.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Инвестиционные фонды и компании как участники рынка ценных бумаг.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Банковские операции с ценными бумагами.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Операции акционерных обществ на рынке ценных бумаг.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Организация маркетинговых исследований на рынке ценных бумаг.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Принципы и практика ценообразования на рынке ценных бумаг.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Оценка рыночной стоимости акций.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Оценка инвестиционного риска на рынке ценных бумаг.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Подходы к формированию портфелей ценных бумаг.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Особенности бухгалтерского учета и аудита операций с  ценными бумагами.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Прогнозирование развития рынка ценных бумаг.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Порядок выплаты и расчет дивидендов.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Анализ доходности акций.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Анализ доходности облигаций.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Государственные ценные бумаги. Оценка доходности.</w:t>
      </w:r>
    </w:p>
    <w:p w:rsidR="00F52027" w:rsidRPr="007A11D4" w:rsidRDefault="00F52027" w:rsidP="00F520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A11D4">
        <w:rPr>
          <w:rFonts w:ascii="Times New Roman" w:eastAsia="Times New Roman" w:hAnsi="Times New Roman" w:cs="Times New Roman"/>
        </w:rPr>
        <w:t>Вексель. Анализ доходности.</w:t>
      </w:r>
    </w:p>
    <w:p w:rsidR="00F52027" w:rsidRPr="007A11D4" w:rsidRDefault="00F52027" w:rsidP="00F52027">
      <w:pPr>
        <w:rPr>
          <w:rFonts w:ascii="Times New Roman" w:eastAsia="Times New Roman" w:hAnsi="Times New Roman" w:cs="Times New Roman"/>
        </w:rPr>
      </w:pPr>
    </w:p>
    <w:p w:rsidR="00F52027" w:rsidRPr="00C605A3" w:rsidRDefault="00F52027" w:rsidP="00F52027">
      <w:pPr>
        <w:tabs>
          <w:tab w:val="right" w:pos="5103"/>
          <w:tab w:val="right" w:pos="7371"/>
          <w:tab w:val="right" w:pos="10206"/>
        </w:tabs>
        <w:spacing w:after="0"/>
        <w:jc w:val="center"/>
        <w:rPr>
          <w:rFonts w:ascii="Times New Roman" w:hAnsi="Times New Roman"/>
          <w:b/>
          <w:sz w:val="48"/>
          <w:szCs w:val="48"/>
          <w:vertAlign w:val="superscript"/>
        </w:rPr>
      </w:pPr>
      <w:r w:rsidRPr="00C605A3">
        <w:rPr>
          <w:rFonts w:ascii="Times New Roman" w:hAnsi="Times New Roman"/>
          <w:b/>
          <w:sz w:val="48"/>
          <w:szCs w:val="48"/>
          <w:vertAlign w:val="superscript"/>
        </w:rPr>
        <w:t xml:space="preserve">ОС №5: </w:t>
      </w:r>
      <w:r>
        <w:rPr>
          <w:rFonts w:ascii="Times New Roman" w:hAnsi="Times New Roman"/>
          <w:b/>
          <w:sz w:val="48"/>
          <w:szCs w:val="48"/>
          <w:vertAlign w:val="superscript"/>
        </w:rPr>
        <w:t>Экзамен</w:t>
      </w:r>
    </w:p>
    <w:p w:rsidR="00F52027" w:rsidRPr="00E145B8" w:rsidRDefault="00F52027" w:rsidP="00F520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5B8">
        <w:rPr>
          <w:rFonts w:ascii="Times New Roman" w:hAnsi="Times New Roman"/>
          <w:sz w:val="28"/>
          <w:szCs w:val="28"/>
        </w:rPr>
        <w:t xml:space="preserve">Вопросы к </w:t>
      </w:r>
      <w:r>
        <w:rPr>
          <w:rFonts w:ascii="Times New Roman" w:hAnsi="Times New Roman"/>
          <w:sz w:val="28"/>
          <w:szCs w:val="28"/>
        </w:rPr>
        <w:t xml:space="preserve">экзамену </w:t>
      </w:r>
      <w:r w:rsidRPr="00E145B8">
        <w:rPr>
          <w:rFonts w:ascii="Times New Roman" w:hAnsi="Times New Roman"/>
          <w:sz w:val="28"/>
          <w:szCs w:val="28"/>
        </w:rPr>
        <w:t xml:space="preserve">по дисциплине </w:t>
      </w:r>
      <w:r w:rsidRPr="00E145B8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Рынок ценных бумаг</w:t>
      </w:r>
      <w:r w:rsidRPr="00E145B8">
        <w:rPr>
          <w:rFonts w:ascii="Times New Roman" w:hAnsi="Times New Roman"/>
          <w:b/>
          <w:bCs/>
          <w:sz w:val="28"/>
          <w:szCs w:val="28"/>
        </w:rPr>
        <w:t>»</w:t>
      </w:r>
    </w:p>
    <w:p w:rsidR="00F52027" w:rsidRPr="00E145B8" w:rsidRDefault="00F52027" w:rsidP="00F52027">
      <w:pPr>
        <w:tabs>
          <w:tab w:val="center" w:pos="5812"/>
        </w:tabs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F52027" w:rsidRDefault="00F52027" w:rsidP="00F52027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pacing w:val="10"/>
          <w:sz w:val="21"/>
          <w:szCs w:val="21"/>
        </w:rPr>
      </w:pPr>
      <w:r>
        <w:rPr>
          <w:rFonts w:ascii="Times New Roman" w:hAnsi="Times New Roman"/>
          <w:b/>
          <w:spacing w:val="10"/>
          <w:sz w:val="21"/>
          <w:szCs w:val="21"/>
        </w:rPr>
        <w:t>ПРОГРАММНЫЕ  ВОПРОСЫ</w:t>
      </w:r>
    </w:p>
    <w:p w:rsidR="00F52027" w:rsidRPr="00D05166" w:rsidRDefault="00F52027" w:rsidP="00F52027">
      <w:pPr>
        <w:spacing w:after="0" w:line="240" w:lineRule="auto"/>
        <w:ind w:firstLine="360"/>
        <w:contextualSpacing/>
        <w:rPr>
          <w:rFonts w:ascii="Times New Roman" w:eastAsia="Times New Roman" w:hAnsi="Times New Roman"/>
          <w:b/>
          <w:spacing w:val="10"/>
          <w:sz w:val="23"/>
          <w:szCs w:val="23"/>
        </w:rPr>
      </w:pPr>
    </w:p>
    <w:p w:rsidR="00F52027" w:rsidRDefault="00F52027" w:rsidP="00F5202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Понятие ценных бумаг, их качества,  функции.</w:t>
      </w:r>
    </w:p>
    <w:p w:rsidR="00F52027" w:rsidRDefault="00F52027" w:rsidP="00F5202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Классификация ценных бумаг.</w:t>
      </w:r>
    </w:p>
    <w:p w:rsidR="00F52027" w:rsidRDefault="00F52027" w:rsidP="00F5202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Понятие и виды экономических реквизитов ценных бумаг.</w:t>
      </w:r>
    </w:p>
    <w:p w:rsidR="00F52027" w:rsidRDefault="00F52027" w:rsidP="00F5202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Система ценных бумаг.</w:t>
      </w:r>
    </w:p>
    <w:p w:rsidR="00F52027" w:rsidRDefault="00F52027" w:rsidP="00F5202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Акции, общая характеристика, свойства.</w:t>
      </w:r>
    </w:p>
    <w:p w:rsidR="00F52027" w:rsidRDefault="00F52027" w:rsidP="00F5202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Виды акций.</w:t>
      </w:r>
    </w:p>
    <w:p w:rsidR="00F52027" w:rsidRDefault="00F52027" w:rsidP="00F5202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Стоимостная оценка акций.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Облигация, общая характеристика, реквизиты.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Виды облигаций.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Стоимостная оценка облигаций.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Вексель, общая характеристика.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Виды векселей.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Понятия, использованные в вексельном обращении.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 Банковский сертификат.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Чек.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Коносамент.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Складское свидетельство.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Закладная.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Государственные ценные бумаги, их виды.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Вторичные ценные бумаги.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Производные ценные бумаги.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Понятие рынка ценных бумаг, его функции.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Классификация рынка ценных бумаг.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Участники рынка ценных бумаг.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Механизм функционирования рынка ценных бумаг.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Государственное регулирование рынком ценных бумаг.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Первичный рынок ценных бумаг.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Операции первичного рынка ценных бумаг.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Формы размещения ценных бумаг на первичном рынке.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Эмиссия ценных бумаг, организация и порядок эмиссии.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Этапы эмиссии ценных бумаг.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Вторичный рынок ценных бумаг, его задачи.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Основные операции вторичного рынка.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Траст  и клиринг.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Понятие портфеля ценных бумаг.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Стратегии управления портфелем ценных бумаг.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Современное состояние российского рынка ценных бумаг.</w:t>
      </w:r>
    </w:p>
    <w:p w:rsidR="00F52027" w:rsidRDefault="00F52027" w:rsidP="00F52027">
      <w:pPr>
        <w:spacing w:line="252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Тенденции развития современного мирового рынка ценных бумаг. </w:t>
      </w:r>
    </w:p>
    <w:p w:rsidR="00BE3CCC" w:rsidRDefault="00BE3CCC"/>
    <w:sectPr w:rsidR="00BE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D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52027"/>
    <w:rsid w:val="00BE3CCC"/>
    <w:rsid w:val="00F5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0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5202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rsid w:val="00F52027"/>
    <w:rPr>
      <w:rFonts w:ascii="Calibri" w:eastAsia="Calibri" w:hAnsi="Calibri" w:cs="Times New Roman"/>
      <w:lang w:eastAsia="en-US"/>
    </w:rPr>
  </w:style>
  <w:style w:type="paragraph" w:customStyle="1" w:styleId="23">
    <w:name w:val="Стиль2"/>
    <w:basedOn w:val="2"/>
    <w:rsid w:val="00F5202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Cs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520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qFormat/>
    <w:rsid w:val="00F5202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3957</Characters>
  <Application>Microsoft Office Word</Application>
  <DocSecurity>0</DocSecurity>
  <Lines>32</Lines>
  <Paragraphs>9</Paragraphs>
  <ScaleCrop>false</ScaleCrop>
  <Company>miu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OlgaUP</dc:creator>
  <cp:keywords/>
  <dc:description/>
  <cp:lastModifiedBy>OlgaUP</cp:lastModifiedBy>
  <cp:revision>3</cp:revision>
  <dcterms:created xsi:type="dcterms:W3CDTF">2016-11-16T14:34:00Z</dcterms:created>
  <dcterms:modified xsi:type="dcterms:W3CDTF">2016-11-16T14:34:00Z</dcterms:modified>
</cp:coreProperties>
</file>